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bookmarkStart w:id="0" w:name="_Toc1354400934"/>
      <w:bookmarkStart w:id="1" w:name="_Toc3200967"/>
      <w:bookmarkStart w:id="2" w:name="_Toc3120144"/>
      <w:bookmarkStart w:id="3" w:name="_Toc921477886"/>
    </w:p>
    <w:p>
      <w:pPr>
        <w:pStyle w:val="9"/>
        <w:rPr>
          <w:rFonts w:ascii="方正小标宋简体" w:hAnsi="方正小标宋简体" w:eastAsia="方正小标宋简体" w:cs="方正小标宋简体"/>
          <w:b w:val="0"/>
          <w:bCs w:val="0"/>
          <w:color w:val="000000"/>
          <w:sz w:val="44"/>
        </w:rPr>
      </w:pPr>
      <w:r>
        <w:rPr>
          <w:rFonts w:hint="eastAsia" w:ascii="方正小标宋简体" w:hAnsi="方正小标宋简体" w:eastAsia="方正小标宋简体" w:cs="方正小标宋简体"/>
          <w:b w:val="0"/>
          <w:bCs w:val="0"/>
          <w:color w:val="000000"/>
          <w:sz w:val="44"/>
        </w:rPr>
        <w:t>吉林省促进大数据发展应用条例</w:t>
      </w:r>
      <w:bookmarkStart w:id="16" w:name="_GoBack"/>
      <w:bookmarkEnd w:id="16"/>
    </w:p>
    <w:p>
      <w:pPr>
        <w:pStyle w:val="9"/>
        <w:rPr>
          <w:rFonts w:ascii="仿宋" w:hAnsi="仿宋" w:eastAsia="仿宋" w:cs="仿宋"/>
          <w:b w:val="0"/>
          <w:sz w:val="32"/>
          <w:szCs w:val="32"/>
        </w:rPr>
      </w:pPr>
      <w:r>
        <w:rPr>
          <w:rFonts w:hint="eastAsia" w:ascii="楷体_GB2312" w:hAnsi="楷体_GB2312" w:eastAsia="楷体_GB2312" w:cs="楷体_GB2312"/>
          <w:b w:val="0"/>
          <w:bCs w:val="0"/>
          <w:color w:val="000000"/>
        </w:rPr>
        <w:t>（征求意见稿）</w:t>
      </w:r>
      <w:bookmarkEnd w:id="0"/>
      <w:bookmarkEnd w:id="1"/>
      <w:bookmarkEnd w:id="2"/>
      <w:bookmarkStart w:id="4" w:name="_Toc3200968"/>
    </w:p>
    <w:p>
      <w:pPr>
        <w:pStyle w:val="2"/>
        <w:ind w:firstLine="0" w:firstLineChars="0"/>
        <w:jc w:val="center"/>
        <w:rPr>
          <w:rFonts w:ascii="仿宋" w:hAnsi="仿宋" w:eastAsia="仿宋" w:cs="仿宋"/>
          <w:b w:val="0"/>
          <w:sz w:val="32"/>
          <w:szCs w:val="32"/>
        </w:rPr>
      </w:pPr>
    </w:p>
    <w:p>
      <w:pPr>
        <w:pStyle w:val="2"/>
        <w:ind w:firstLine="0" w:firstLineChars="0"/>
        <w:jc w:val="center"/>
        <w:rPr>
          <w:rFonts w:ascii="黑体" w:hAnsi="黑体" w:eastAsia="黑体" w:cs="黑体"/>
          <w:b w:val="0"/>
          <w:sz w:val="32"/>
          <w:szCs w:val="32"/>
        </w:rPr>
      </w:pPr>
      <w:r>
        <w:rPr>
          <w:rFonts w:hint="eastAsia" w:ascii="黑体" w:hAnsi="黑体" w:eastAsia="黑体" w:cs="黑体"/>
          <w:b w:val="0"/>
          <w:sz w:val="32"/>
          <w:szCs w:val="32"/>
        </w:rPr>
        <w:t>第一章</w:t>
      </w:r>
      <w:r>
        <w:rPr>
          <w:rFonts w:hint="eastAsia" w:ascii="黑体" w:hAnsi="黑体" w:eastAsia="黑体" w:cs="黑体"/>
          <w:b w:val="0"/>
          <w:sz w:val="32"/>
          <w:szCs w:val="32"/>
          <w:lang w:val="en-US" w:eastAsia="zh-CN"/>
        </w:rPr>
        <w:t xml:space="preserve"> </w:t>
      </w:r>
      <w:r>
        <w:rPr>
          <w:rFonts w:hint="eastAsia" w:ascii="黑体" w:hAnsi="黑体" w:eastAsia="黑体" w:cs="黑体"/>
          <w:b w:val="0"/>
          <w:sz w:val="32"/>
          <w:szCs w:val="32"/>
        </w:rPr>
        <w:t>总</w:t>
      </w:r>
      <w:r>
        <w:rPr>
          <w:rFonts w:hint="eastAsia" w:ascii="黑体" w:hAnsi="黑体" w:eastAsia="黑体" w:cs="黑体"/>
          <w:b w:val="0"/>
          <w:sz w:val="32"/>
          <w:szCs w:val="32"/>
          <w:lang w:val="en-US" w:eastAsia="zh-CN"/>
        </w:rPr>
        <w:t xml:space="preserve"> </w:t>
      </w:r>
      <w:r>
        <w:rPr>
          <w:rFonts w:hint="eastAsia" w:ascii="黑体" w:hAnsi="黑体" w:eastAsia="黑体" w:cs="黑体"/>
          <w:b w:val="0"/>
          <w:sz w:val="32"/>
          <w:szCs w:val="32"/>
        </w:rPr>
        <w:t>则</w:t>
      </w:r>
      <w:bookmarkEnd w:id="3"/>
      <w:bookmarkEnd w:id="4"/>
    </w:p>
    <w:p>
      <w:pPr>
        <w:ind w:firstLine="640" w:firstLineChars="200"/>
        <w:rPr>
          <w:rFonts w:ascii="黑体" w:hAnsi="黑体" w:eastAsia="黑体" w:cs="黑体"/>
          <w:color w:val="000000"/>
          <w:sz w:val="32"/>
          <w:szCs w:val="32"/>
        </w:rPr>
      </w:pPr>
    </w:p>
    <w:p>
      <w:pPr>
        <w:ind w:firstLine="640" w:firstLineChars="200"/>
        <w:rPr>
          <w:rFonts w:ascii="仿宋" w:hAnsi="仿宋" w:eastAsia="仿宋" w:cs="仿宋"/>
          <w:color w:val="000000"/>
          <w:sz w:val="32"/>
          <w:szCs w:val="32"/>
        </w:rPr>
      </w:pPr>
      <w:r>
        <w:rPr>
          <w:rFonts w:hint="eastAsia" w:ascii="黑体" w:hAnsi="黑体" w:eastAsia="黑体" w:cs="黑体"/>
          <w:color w:val="000000"/>
          <w:sz w:val="32"/>
          <w:szCs w:val="32"/>
        </w:rPr>
        <w:t>第一条</w:t>
      </w:r>
      <w:r>
        <w:rPr>
          <w:rFonts w:hint="eastAsia" w:ascii="仿宋" w:hAnsi="仿宋" w:eastAsia="仿宋" w:cs="仿宋"/>
          <w:color w:val="000000"/>
          <w:sz w:val="32"/>
          <w:szCs w:val="32"/>
        </w:rPr>
        <w:t>【立法目的】为进一步规范大数据管理、促进本省大数据发展应用，运用大数据推动经济发展、完善社会治理、服务改善民生、提升政府服务与监管能力，培育壮大新兴产业，加快“数字吉林”建设，根据国家有关法律法规规定，结合本省实际，制定本条例。</w:t>
      </w:r>
    </w:p>
    <w:p>
      <w:pPr>
        <w:widowControl w:val="0"/>
        <w:wordWrap/>
        <w:adjustRightInd/>
        <w:snapToGrid/>
        <w:spacing w:line="240" w:lineRule="auto"/>
        <w:ind w:left="0" w:leftChars="0" w:right="0" w:firstLine="640" w:firstLineChars="200"/>
        <w:jc w:val="both"/>
        <w:textAlignment w:val="auto"/>
        <w:outlineLvl w:val="9"/>
        <w:rPr>
          <w:rFonts w:hint="eastAsia" w:ascii="仿宋" w:hAnsi="仿宋" w:eastAsia="仿宋" w:cs="仿宋"/>
          <w:color w:val="000000"/>
          <w:sz w:val="32"/>
          <w:szCs w:val="32"/>
        </w:rPr>
      </w:pPr>
      <w:r>
        <w:rPr>
          <w:rFonts w:hint="eastAsia" w:ascii="黑体" w:hAnsi="黑体" w:eastAsia="黑体" w:cs="黑体"/>
          <w:color w:val="000000"/>
          <w:sz w:val="32"/>
          <w:szCs w:val="32"/>
        </w:rPr>
        <w:t>第二条</w:t>
      </w:r>
      <w:r>
        <w:rPr>
          <w:rFonts w:hint="eastAsia" w:ascii="仿宋" w:hAnsi="仿宋" w:eastAsia="仿宋" w:cs="仿宋"/>
          <w:color w:val="000000"/>
          <w:sz w:val="32"/>
          <w:szCs w:val="32"/>
        </w:rPr>
        <w:t>【适用范围】本省行政区域内大数据管理、共享、开放、发展、应用及其他相关活动，应当遵守本条例。</w:t>
      </w:r>
    </w:p>
    <w:p>
      <w:pPr>
        <w:widowControl w:val="0"/>
        <w:wordWrap/>
        <w:adjustRightInd/>
        <w:snapToGrid/>
        <w:spacing w:line="240" w:lineRule="auto"/>
        <w:ind w:left="0" w:leftChars="0" w:right="0" w:firstLine="640" w:firstLineChars="200"/>
        <w:jc w:val="both"/>
        <w:textAlignment w:val="auto"/>
        <w:outlineLvl w:val="9"/>
        <w:rPr>
          <w:rFonts w:ascii="仿宋" w:hAnsi="仿宋" w:eastAsia="仿宋" w:cs="仿宋"/>
          <w:color w:val="000000"/>
          <w:sz w:val="32"/>
          <w:szCs w:val="32"/>
        </w:rPr>
      </w:pPr>
      <w:r>
        <w:rPr>
          <w:rFonts w:hint="eastAsia" w:ascii="仿宋" w:hAnsi="仿宋" w:eastAsia="仿宋" w:cs="仿宋"/>
          <w:color w:val="000000"/>
          <w:sz w:val="32"/>
          <w:szCs w:val="32"/>
        </w:rPr>
        <w:t>本条例所称大数据，是指以容量大、类型多、存取速度快、应用价值高为主要特征的数据集合，以及对其开发利用形成的新技术和新业态。</w:t>
      </w:r>
    </w:p>
    <w:p>
      <w:pPr>
        <w:numPr>
          <w:ilvl w:val="0"/>
          <w:numId w:val="1"/>
        </w:numPr>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【主管部门】省人民政府统一领导全省大数据管理发展应用工作，市（州）人民政府负责本行政区域内大数据发展应用工作。</w:t>
      </w:r>
    </w:p>
    <w:p>
      <w:pPr>
        <w:numPr>
          <w:numId w:val="0"/>
        </w:numPr>
        <w:rPr>
          <w:rFonts w:ascii="仿宋" w:hAnsi="仿宋" w:eastAsia="仿宋" w:cs="仿宋"/>
          <w:color w:val="000000"/>
          <w:sz w:val="32"/>
          <w:szCs w:val="32"/>
        </w:rPr>
      </w:pP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省、市（州）人民政府应当将大数据发展应用纳入本行政区域国民经济和社会发展规划，统筹解决大数据发展应用的重大问题。</w:t>
      </w:r>
      <w:r>
        <w:rPr>
          <w:rFonts w:hint="eastAsia" w:ascii="仿宋" w:hAnsi="仿宋" w:eastAsia="仿宋" w:cs="仿宋"/>
          <w:color w:val="000000"/>
          <w:sz w:val="32"/>
          <w:szCs w:val="32"/>
        </w:rPr>
        <w:br/>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省政务服务和数字化建设管理部门负责本省大数据管理发展应用工作。</w:t>
      </w:r>
    </w:p>
    <w:p>
      <w:pPr>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各市（州）人民政府政务服务和数字化建设管理部门负责本行政区域内大数据管理发展应用的具体工作。其他有关部门在各自职责范围内负责大数据管理发展应用的相关工作。</w:t>
      </w:r>
    </w:p>
    <w:p>
      <w:pPr>
        <w:ind w:firstLine="640" w:firstLineChars="200"/>
        <w:rPr>
          <w:rFonts w:ascii="仿宋" w:hAnsi="仿宋" w:eastAsia="仿宋" w:cs="仿宋"/>
          <w:color w:val="000000"/>
          <w:sz w:val="32"/>
          <w:szCs w:val="32"/>
        </w:rPr>
      </w:pPr>
      <w:r>
        <w:rPr>
          <w:rFonts w:hint="eastAsia" w:ascii="黑体" w:hAnsi="黑体" w:eastAsia="黑体" w:cs="黑体"/>
          <w:color w:val="000000"/>
          <w:sz w:val="32"/>
          <w:szCs w:val="32"/>
        </w:rPr>
        <w:t>第四条</w:t>
      </w:r>
      <w:r>
        <w:rPr>
          <w:rFonts w:hint="eastAsia" w:ascii="仿宋" w:hAnsi="仿宋" w:eastAsia="仿宋" w:cs="仿宋"/>
          <w:color w:val="000000"/>
          <w:sz w:val="32"/>
          <w:szCs w:val="32"/>
        </w:rPr>
        <w:t>【基本原则】本省大数据发展应用坚持统筹规划、共享开放、依法管理、创新发展、深化应用、安全规范的原则。</w:t>
      </w:r>
    </w:p>
    <w:p>
      <w:pPr>
        <w:ind w:firstLine="640" w:firstLineChars="200"/>
        <w:rPr>
          <w:rFonts w:ascii="仿宋" w:hAnsi="仿宋" w:eastAsia="仿宋" w:cs="仿宋"/>
          <w:color w:val="000000"/>
          <w:sz w:val="32"/>
          <w:szCs w:val="32"/>
        </w:rPr>
      </w:pPr>
      <w:r>
        <w:rPr>
          <w:rFonts w:hint="eastAsia" w:ascii="黑体" w:hAnsi="黑体" w:eastAsia="黑体" w:cs="黑体"/>
          <w:color w:val="000000"/>
          <w:sz w:val="32"/>
          <w:szCs w:val="32"/>
        </w:rPr>
        <w:t>第五条</w:t>
      </w:r>
      <w:r>
        <w:rPr>
          <w:rFonts w:hint="eastAsia" w:ascii="仿宋" w:hAnsi="仿宋" w:eastAsia="仿宋" w:cs="仿宋"/>
          <w:color w:val="000000"/>
          <w:sz w:val="32"/>
          <w:szCs w:val="32"/>
        </w:rPr>
        <w:t>【宣传教育】省、市（州）人民政府及其有关部门应当加强对大数据发展应用的宣传教育，提高全社会大数据发展应用意识和能力。</w:t>
      </w:r>
    </w:p>
    <w:p>
      <w:pPr>
        <w:pStyle w:val="2"/>
        <w:ind w:firstLine="0" w:firstLineChars="0"/>
        <w:jc w:val="center"/>
        <w:rPr>
          <w:rFonts w:ascii="黑体" w:hAnsi="黑体" w:eastAsia="黑体" w:cs="黑体"/>
          <w:b w:val="0"/>
          <w:bCs/>
          <w:color w:val="000000"/>
          <w:sz w:val="32"/>
          <w:szCs w:val="32"/>
        </w:rPr>
      </w:pPr>
      <w:bookmarkStart w:id="5" w:name="_Toc3200969"/>
    </w:p>
    <w:p>
      <w:pPr>
        <w:pStyle w:val="2"/>
        <w:ind w:firstLine="0" w:firstLineChars="0"/>
        <w:jc w:val="center"/>
        <w:rPr>
          <w:rFonts w:ascii="黑体" w:hAnsi="黑体" w:eastAsia="黑体" w:cs="黑体"/>
          <w:b w:val="0"/>
          <w:bCs/>
          <w:color w:val="000000"/>
          <w:sz w:val="32"/>
          <w:szCs w:val="32"/>
        </w:rPr>
      </w:pPr>
      <w:r>
        <w:rPr>
          <w:rFonts w:hint="eastAsia" w:ascii="黑体" w:hAnsi="黑体" w:eastAsia="黑体" w:cs="黑体"/>
          <w:b w:val="0"/>
          <w:bCs/>
          <w:color w:val="000000"/>
          <w:sz w:val="32"/>
          <w:szCs w:val="32"/>
        </w:rPr>
        <w:t>第二章</w:t>
      </w:r>
      <w:r>
        <w:rPr>
          <w:rFonts w:hint="eastAsia" w:ascii="黑体" w:hAnsi="黑体" w:eastAsia="黑体" w:cs="黑体"/>
          <w:b w:val="0"/>
          <w:bCs/>
          <w:color w:val="000000"/>
          <w:sz w:val="32"/>
          <w:szCs w:val="32"/>
          <w:lang w:val="en-US" w:eastAsia="zh-CN"/>
        </w:rPr>
        <w:t xml:space="preserve"> </w:t>
      </w:r>
      <w:r>
        <w:rPr>
          <w:rFonts w:hint="eastAsia" w:ascii="黑体" w:hAnsi="黑体" w:eastAsia="黑体" w:cs="黑体"/>
          <w:b w:val="0"/>
          <w:bCs/>
          <w:color w:val="000000"/>
          <w:sz w:val="32"/>
          <w:szCs w:val="32"/>
        </w:rPr>
        <w:t>统筹</w:t>
      </w:r>
      <w:bookmarkEnd w:id="5"/>
      <w:r>
        <w:rPr>
          <w:rFonts w:hint="eastAsia" w:ascii="黑体" w:hAnsi="黑体" w:eastAsia="黑体" w:cs="黑体"/>
          <w:b w:val="0"/>
          <w:bCs/>
          <w:color w:val="000000"/>
          <w:sz w:val="32"/>
          <w:szCs w:val="32"/>
        </w:rPr>
        <w:t>管理</w:t>
      </w:r>
    </w:p>
    <w:p>
      <w:pPr>
        <w:spacing w:line="360" w:lineRule="auto"/>
        <w:ind w:firstLine="640" w:firstLineChars="200"/>
        <w:rPr>
          <w:rFonts w:ascii="黑体" w:hAnsi="黑体" w:eastAsia="黑体" w:cs="黑体"/>
          <w:color w:val="000000"/>
          <w:sz w:val="32"/>
          <w:szCs w:val="32"/>
        </w:rPr>
      </w:pPr>
    </w:p>
    <w:p>
      <w:pPr>
        <w:spacing w:line="360" w:lineRule="auto"/>
        <w:ind w:firstLine="640" w:firstLineChars="200"/>
        <w:rPr>
          <w:rFonts w:ascii="仿宋" w:hAnsi="仿宋" w:eastAsia="仿宋" w:cs="仿宋"/>
          <w:color w:val="000000"/>
          <w:sz w:val="32"/>
          <w:szCs w:val="32"/>
        </w:rPr>
      </w:pPr>
      <w:r>
        <w:rPr>
          <w:rFonts w:hint="eastAsia" w:ascii="黑体" w:hAnsi="黑体" w:eastAsia="黑体" w:cs="黑体"/>
          <w:color w:val="000000"/>
          <w:sz w:val="32"/>
          <w:szCs w:val="32"/>
        </w:rPr>
        <w:t>第六条</w:t>
      </w:r>
      <w:r>
        <w:rPr>
          <w:rFonts w:hint="eastAsia" w:ascii="仿宋" w:hAnsi="仿宋" w:eastAsia="仿宋" w:cs="仿宋"/>
          <w:color w:val="000000"/>
          <w:sz w:val="32"/>
          <w:szCs w:val="32"/>
        </w:rPr>
        <w:t>【公共数据资源界定】全省各级行政机关以及履行和承担公共管理和服务职能的社会组织、企业、事业单位（以下统称行政机关以及公共管理和服务机构）在依法履行职责过程中，采集或产生的各类数据资源属于公共数据。</w:t>
      </w:r>
    </w:p>
    <w:p>
      <w:pPr>
        <w:spacing w:line="360" w:lineRule="auto"/>
        <w:ind w:firstLine="640" w:firstLineChars="200"/>
        <w:rPr>
          <w:rFonts w:ascii="仿宋" w:hAnsi="仿宋" w:eastAsia="仿宋" w:cs="仿宋"/>
          <w:color w:val="000000"/>
          <w:sz w:val="32"/>
          <w:szCs w:val="32"/>
        </w:rPr>
      </w:pPr>
      <w:r>
        <w:rPr>
          <w:rFonts w:hint="eastAsia" w:ascii="黑体" w:hAnsi="黑体" w:eastAsia="黑体" w:cs="黑体"/>
          <w:color w:val="000000"/>
          <w:sz w:val="32"/>
          <w:szCs w:val="32"/>
        </w:rPr>
        <w:t>第七条</w:t>
      </w:r>
      <w:r>
        <w:rPr>
          <w:rFonts w:hint="eastAsia" w:ascii="仿宋" w:hAnsi="仿宋" w:eastAsia="仿宋" w:cs="仿宋"/>
          <w:color w:val="000000"/>
          <w:sz w:val="32"/>
          <w:szCs w:val="32"/>
        </w:rPr>
        <w:t>【发展规划】省政务服务和数字化建设管理部门负责组织编制本省大数据发展应用的规划，报省人民政府批准后实施。</w:t>
      </w:r>
    </w:p>
    <w:p>
      <w:pPr>
        <w:spacing w:line="360" w:lineRule="auto"/>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市（州）人民政府编制本区域大数据发展应用规划，应当与省大数据发展应用规划相衔接，并报省政务服务和数字化建设管理部门备案后实施。</w:t>
      </w:r>
    </w:p>
    <w:p>
      <w:pPr>
        <w:ind w:firstLine="640" w:firstLineChars="200"/>
        <w:rPr>
          <w:rFonts w:ascii="仿宋" w:hAnsi="仿宋" w:eastAsia="仿宋" w:cs="仿宋"/>
          <w:color w:val="000000"/>
          <w:sz w:val="32"/>
          <w:szCs w:val="32"/>
        </w:rPr>
      </w:pPr>
      <w:r>
        <w:rPr>
          <w:rFonts w:hint="eastAsia" w:ascii="黑体" w:hAnsi="黑体" w:eastAsia="黑体" w:cs="黑体"/>
          <w:color w:val="000000"/>
          <w:sz w:val="32"/>
          <w:szCs w:val="32"/>
        </w:rPr>
        <w:t>第八条</w:t>
      </w:r>
      <w:r>
        <w:rPr>
          <w:rFonts w:hint="eastAsia" w:ascii="仿宋" w:hAnsi="仿宋" w:eastAsia="仿宋" w:cs="仿宋"/>
          <w:color w:val="000000"/>
          <w:sz w:val="32"/>
          <w:szCs w:val="32"/>
        </w:rPr>
        <w:t>【数据管理】省政务服务和数字化建设管理部门统筹协调、推进指导监督全省公共数据采集、归集、整合、共享、开放和应用管理工作，对全省公共数据实行集中统一管理，并会同相关部门加强全省公共数据标准化建设，制定公共数据采集、归集、整合、共享、开放以及质量和安全管理等标准，促进公共数据的规范化管理。</w:t>
      </w:r>
    </w:p>
    <w:p>
      <w:pPr>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市（州）政务服务和数字化建设管理部门负责本行政区域内公共数据管理工作。</w:t>
      </w:r>
    </w:p>
    <w:p>
      <w:pPr>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全省各级行政机关以及公共管理和服务机构应当在职责范围内，做好公共数据的采集归集、目录编制、互联共享、更新维护和安全管理等工作。</w:t>
      </w:r>
    </w:p>
    <w:p>
      <w:pPr>
        <w:ind w:firstLine="640" w:firstLineChars="200"/>
        <w:rPr>
          <w:rFonts w:ascii="仿宋" w:hAnsi="仿宋" w:eastAsia="仿宋" w:cs="仿宋"/>
          <w:color w:val="000000"/>
          <w:sz w:val="32"/>
          <w:szCs w:val="32"/>
        </w:rPr>
      </w:pPr>
      <w:r>
        <w:rPr>
          <w:rFonts w:hint="eastAsia" w:ascii="黑体" w:hAnsi="黑体" w:eastAsia="黑体" w:cs="黑体"/>
          <w:color w:val="000000"/>
          <w:sz w:val="32"/>
          <w:szCs w:val="32"/>
        </w:rPr>
        <w:t>第九条</w:t>
      </w:r>
      <w:r>
        <w:rPr>
          <w:rFonts w:hint="eastAsia" w:ascii="仿宋" w:hAnsi="仿宋" w:eastAsia="仿宋" w:cs="仿宋"/>
          <w:color w:val="000000"/>
          <w:sz w:val="32"/>
          <w:szCs w:val="32"/>
        </w:rPr>
        <w:t>【省大数据平台】省政务服务和数字化建设管理部门负责组织有关部门推进“吉林祥云”大数据平台（以下简称“省大数据平台”）建设，指导省大数据平台的运行和维护。</w:t>
      </w:r>
    </w:p>
    <w:p>
      <w:pPr>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省大数据平台是实现全省公共数据统一存储、整合、共享、开放、监管等全过程管理的综合信息化基础设施。</w:t>
      </w:r>
    </w:p>
    <w:p>
      <w:pPr>
        <w:ind w:firstLine="640" w:firstLineChars="200"/>
        <w:rPr>
          <w:rFonts w:ascii="仿宋" w:hAnsi="仿宋" w:eastAsia="仿宋" w:cs="仿宋"/>
          <w:color w:val="000000"/>
          <w:sz w:val="32"/>
          <w:szCs w:val="32"/>
        </w:rPr>
      </w:pPr>
      <w:r>
        <w:rPr>
          <w:rFonts w:hint="eastAsia" w:ascii="黑体" w:hAnsi="黑体" w:eastAsia="黑体" w:cs="黑体"/>
          <w:color w:val="000000"/>
          <w:sz w:val="32"/>
          <w:szCs w:val="32"/>
        </w:rPr>
        <w:t>第十条</w:t>
      </w:r>
      <w:r>
        <w:rPr>
          <w:rFonts w:hint="eastAsia" w:ascii="仿宋" w:hAnsi="仿宋" w:eastAsia="仿宋" w:cs="仿宋"/>
          <w:color w:val="000000"/>
          <w:sz w:val="32"/>
          <w:szCs w:val="32"/>
        </w:rPr>
        <w:t>【平台的整合】市（州）人民政府和省级人民政府各部门已有的公共数据平台应当与省大数据平台对接，非涉及国家秘密的信息系统应当迁至省大数据平台。各级人民政府及相关部门应将本地公共数据向省大数据平台开放。</w:t>
      </w:r>
    </w:p>
    <w:p>
      <w:pPr>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市（州）人民政府和省级人民政府各部门原则上不得新建、扩建本地、本部门公共数据平台。</w:t>
      </w:r>
    </w:p>
    <w:p>
      <w:pPr>
        <w:ind w:firstLine="640" w:firstLineChars="200"/>
        <w:rPr>
          <w:rFonts w:ascii="仿宋" w:hAnsi="仿宋" w:eastAsia="仿宋" w:cs="仿宋"/>
          <w:color w:val="000000"/>
          <w:sz w:val="32"/>
          <w:szCs w:val="32"/>
        </w:rPr>
      </w:pPr>
      <w:r>
        <w:rPr>
          <w:rFonts w:hint="eastAsia" w:ascii="黑体" w:hAnsi="黑体" w:eastAsia="黑体" w:cs="黑体"/>
          <w:color w:val="000000"/>
          <w:sz w:val="32"/>
          <w:szCs w:val="32"/>
        </w:rPr>
        <w:t>第十一条</w:t>
      </w:r>
      <w:r>
        <w:rPr>
          <w:rFonts w:hint="eastAsia" w:ascii="仿宋" w:hAnsi="仿宋" w:eastAsia="仿宋" w:cs="仿宋"/>
          <w:color w:val="000000"/>
          <w:sz w:val="32"/>
          <w:szCs w:val="32"/>
        </w:rPr>
        <w:t>【数据目录编制】省政务服务和数字化建设管理部门负责制定公共数据目录的编制要求并组织实施。</w:t>
      </w:r>
    </w:p>
    <w:p>
      <w:pPr>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省人民政府各部门应当按照公共数据目录编制要求编制和更新本部门、本系统公共数据目录。</w:t>
      </w:r>
    </w:p>
    <w:p>
      <w:pPr>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省政务服务和数字化建设管理部门对省人民政府各部门报送的公共数据目录进行归集、审核后，形成本省的公共数据目录。</w:t>
      </w:r>
    </w:p>
    <w:p>
      <w:pPr>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市（州）政务服务和数字化建设管理部门可以根据实际需要，对本区域内未纳入全省公共数据目录的个性化公共数据进行梳理，编制本区域公共数据补充目录。</w:t>
      </w:r>
    </w:p>
    <w:p>
      <w:pPr>
        <w:ind w:firstLine="640" w:firstLineChars="200"/>
        <w:rPr>
          <w:rFonts w:ascii="仿宋" w:hAnsi="仿宋" w:eastAsia="仿宋" w:cs="仿宋"/>
          <w:color w:val="000000"/>
          <w:sz w:val="32"/>
          <w:szCs w:val="32"/>
        </w:rPr>
      </w:pPr>
      <w:r>
        <w:rPr>
          <w:rFonts w:hint="eastAsia" w:ascii="黑体" w:hAnsi="黑体" w:eastAsia="黑体" w:cs="黑体"/>
          <w:color w:val="000000"/>
          <w:sz w:val="32"/>
          <w:szCs w:val="32"/>
        </w:rPr>
        <w:t>第十二条</w:t>
      </w:r>
      <w:r>
        <w:rPr>
          <w:rFonts w:hint="eastAsia" w:ascii="仿宋" w:hAnsi="仿宋" w:eastAsia="仿宋" w:cs="仿宋"/>
          <w:color w:val="000000"/>
          <w:sz w:val="32"/>
          <w:szCs w:val="32"/>
        </w:rPr>
        <w:t>【公共数据采集】行政机关以及公共管理和服务机构应当遵循合法、必要、适度原则，按照一数一源、一数多用的原则和公共数据资源目录的要求采集公共数据，并确保数据采集的准确性、完整性、时效性，实现本省公共数据的一次采集、共享使用。可以通过共享方式获得公共数据的，不得通过其它方式重复采集。</w:t>
      </w:r>
    </w:p>
    <w:p>
      <w:pPr>
        <w:ind w:firstLine="640" w:firstLineChars="200"/>
        <w:rPr>
          <w:rFonts w:ascii="仿宋" w:hAnsi="仿宋" w:eastAsia="仿宋" w:cs="仿宋"/>
          <w:color w:val="000000"/>
          <w:sz w:val="32"/>
          <w:szCs w:val="32"/>
        </w:rPr>
      </w:pPr>
      <w:r>
        <w:rPr>
          <w:rFonts w:hint="eastAsia" w:ascii="黑体" w:hAnsi="黑体" w:eastAsia="黑体" w:cs="黑体"/>
          <w:color w:val="000000"/>
          <w:sz w:val="32"/>
          <w:szCs w:val="32"/>
        </w:rPr>
        <w:t>第十三条</w:t>
      </w:r>
      <w:r>
        <w:rPr>
          <w:rFonts w:hint="eastAsia" w:ascii="仿宋" w:hAnsi="仿宋" w:eastAsia="仿宋" w:cs="仿宋"/>
          <w:color w:val="000000"/>
          <w:sz w:val="32"/>
          <w:szCs w:val="32"/>
        </w:rPr>
        <w:t>【公共数据归集】行政机关以及公共管理和服务机构应当将本单位的公共数据向省大数据平台归集，实现公共数据资源的集中存储。</w:t>
      </w:r>
    </w:p>
    <w:p>
      <w:pPr>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省人民政府各部门负责归集本部门、本系统的公共数据；市（州）行政机关以及公共管理和服务机构采集或产生的公共数据，无法实现直接归集的，由市（州）有关部门进行初步归集后，分类归集给省人民政府各部门。</w:t>
      </w:r>
    </w:p>
    <w:p>
      <w:pPr>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省人民政府各部门应当按照多源校核、动态更新的原则，对本系统公共数据进行逐项校核、确认，并按照统一的标准和要求，开展本系统数据治理和整合，向省大数据平台归集。</w:t>
      </w:r>
    </w:p>
    <w:p>
      <w:pPr>
        <w:numPr>
          <w:ilvl w:val="0"/>
          <w:numId w:val="2"/>
        </w:numPr>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数据管理责任】行政机关以及公共管理和服务机构、遵循“谁采集、谁负责”“谁校核、谁负责”的原则对数据采集、归集、整合、共享、开放的进度、范围、安全性、质量承担责任，并建立相应的公共数据校正完善机制。</w:t>
      </w:r>
    </w:p>
    <w:p>
      <w:pPr>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行政机关以及公共管理和服务机构</w:t>
      </w:r>
      <w:r>
        <w:rPr>
          <w:rFonts w:ascii="仿宋" w:hAnsi="仿宋" w:eastAsia="仿宋" w:cs="仿宋"/>
          <w:color w:val="000000"/>
          <w:sz w:val="32"/>
          <w:szCs w:val="32"/>
        </w:rPr>
        <w:t>不得</w:t>
      </w:r>
      <w:r>
        <w:rPr>
          <w:rFonts w:hint="eastAsia" w:ascii="仿宋" w:hAnsi="仿宋" w:eastAsia="仿宋" w:cs="仿宋"/>
          <w:sz w:val="32"/>
          <w:szCs w:val="32"/>
        </w:rPr>
        <w:t>擅自更改、伪造或删除公共数据</w:t>
      </w:r>
      <w:r>
        <w:rPr>
          <w:rFonts w:ascii="仿宋" w:hAnsi="仿宋" w:eastAsia="仿宋" w:cs="仿宋"/>
          <w:sz w:val="32"/>
          <w:szCs w:val="32"/>
        </w:rPr>
        <w:t>。</w:t>
      </w:r>
    </w:p>
    <w:p>
      <w:pPr>
        <w:ind w:firstLine="640" w:firstLineChars="200"/>
        <w:rPr>
          <w:rFonts w:ascii="仿宋" w:hAnsi="仿宋" w:eastAsia="仿宋" w:cs="仿宋"/>
          <w:color w:val="000000"/>
          <w:sz w:val="32"/>
          <w:szCs w:val="32"/>
        </w:rPr>
      </w:pPr>
      <w:r>
        <w:rPr>
          <w:rFonts w:hint="eastAsia" w:ascii="黑体" w:hAnsi="黑体" w:eastAsia="黑体" w:cs="黑体"/>
          <w:color w:val="000000"/>
          <w:sz w:val="32"/>
          <w:szCs w:val="32"/>
        </w:rPr>
        <w:t>第十五条</w:t>
      </w:r>
      <w:r>
        <w:rPr>
          <w:rFonts w:hint="eastAsia" w:ascii="仿宋" w:hAnsi="仿宋" w:eastAsia="仿宋" w:cs="仿宋"/>
          <w:color w:val="000000"/>
          <w:sz w:val="32"/>
          <w:szCs w:val="32"/>
        </w:rPr>
        <w:t>【责任机制与可溯性】省政务服务和数字化建设管理部门负责监管公共数据质量，对公共数据的数量、质量以及更新情况等进行实时监测和全面评价。</w:t>
      </w:r>
    </w:p>
    <w:p>
      <w:pPr>
        <w:ind w:firstLine="640" w:firstLineChars="200"/>
        <w:rPr>
          <w:rFonts w:ascii="仿宋" w:hAnsi="仿宋" w:eastAsia="仿宋" w:cs="仿宋"/>
          <w:color w:val="000000"/>
          <w:sz w:val="32"/>
          <w:szCs w:val="32"/>
        </w:rPr>
      </w:pPr>
      <w:r>
        <w:rPr>
          <w:rFonts w:hint="eastAsia" w:ascii="黑体" w:hAnsi="黑体" w:eastAsia="黑体" w:cs="黑体"/>
          <w:color w:val="000000"/>
          <w:sz w:val="32"/>
          <w:szCs w:val="32"/>
        </w:rPr>
        <w:t>第十六条</w:t>
      </w:r>
      <w:r>
        <w:rPr>
          <w:rFonts w:hint="eastAsia" w:ascii="仿宋" w:hAnsi="仿宋" w:eastAsia="仿宋" w:cs="仿宋"/>
          <w:color w:val="000000"/>
          <w:sz w:val="32"/>
          <w:szCs w:val="32"/>
        </w:rPr>
        <w:t>【公共数据维护、更新和更正】公共数据存在错误、遗漏等情形，或者存在侵犯个人信息、商业秘密等情形的，被采集者可以向省政务服务和数字化建设管理部门提出异议，由省政务服务和数字化建设管理部门做出相应处理。</w:t>
      </w:r>
    </w:p>
    <w:p>
      <w:pPr>
        <w:pStyle w:val="2"/>
        <w:ind w:firstLine="0" w:firstLineChars="0"/>
        <w:jc w:val="center"/>
        <w:rPr>
          <w:rFonts w:ascii="黑体" w:hAnsi="黑体" w:eastAsia="黑体" w:cs="黑体"/>
          <w:b w:val="0"/>
          <w:bCs/>
          <w:color w:val="000000"/>
          <w:sz w:val="32"/>
          <w:szCs w:val="32"/>
        </w:rPr>
      </w:pPr>
      <w:bookmarkStart w:id="6" w:name="_Toc3200970"/>
    </w:p>
    <w:p>
      <w:pPr>
        <w:pStyle w:val="2"/>
        <w:ind w:firstLine="0" w:firstLineChars="0"/>
        <w:jc w:val="center"/>
        <w:rPr>
          <w:rFonts w:ascii="黑体" w:hAnsi="黑体" w:eastAsia="黑体" w:cs="黑体"/>
          <w:b w:val="0"/>
          <w:bCs/>
          <w:color w:val="000000"/>
          <w:sz w:val="32"/>
          <w:szCs w:val="32"/>
        </w:rPr>
      </w:pPr>
      <w:r>
        <w:rPr>
          <w:rFonts w:hint="eastAsia" w:ascii="黑体" w:hAnsi="黑体" w:eastAsia="黑体" w:cs="黑体"/>
          <w:b w:val="0"/>
          <w:bCs/>
          <w:color w:val="000000"/>
          <w:sz w:val="32"/>
          <w:szCs w:val="32"/>
        </w:rPr>
        <w:t>第三章</w:t>
      </w:r>
      <w:r>
        <w:rPr>
          <w:rFonts w:hint="eastAsia" w:ascii="黑体" w:hAnsi="黑体" w:eastAsia="黑体" w:cs="黑体"/>
          <w:b w:val="0"/>
          <w:bCs/>
          <w:color w:val="000000"/>
          <w:sz w:val="32"/>
          <w:szCs w:val="32"/>
          <w:lang w:val="en-US" w:eastAsia="zh-CN"/>
        </w:rPr>
        <w:t xml:space="preserve"> </w:t>
      </w:r>
      <w:r>
        <w:rPr>
          <w:rFonts w:hint="eastAsia" w:ascii="黑体" w:hAnsi="黑体" w:eastAsia="黑体" w:cs="黑体"/>
          <w:b w:val="0"/>
          <w:bCs/>
          <w:color w:val="000000"/>
          <w:sz w:val="32"/>
          <w:szCs w:val="32"/>
        </w:rPr>
        <w:t>共享开放</w:t>
      </w:r>
      <w:bookmarkEnd w:id="6"/>
    </w:p>
    <w:p>
      <w:pPr>
        <w:ind w:firstLine="640" w:firstLineChars="200"/>
        <w:rPr>
          <w:rFonts w:ascii="黑体" w:hAnsi="黑体" w:eastAsia="黑体" w:cs="黑体"/>
          <w:color w:val="000000"/>
          <w:sz w:val="32"/>
          <w:szCs w:val="32"/>
        </w:rPr>
      </w:pPr>
    </w:p>
    <w:p>
      <w:pPr>
        <w:ind w:firstLine="640" w:firstLineChars="200"/>
        <w:rPr>
          <w:rFonts w:ascii="仿宋" w:hAnsi="仿宋" w:eastAsia="仿宋" w:cs="仿宋"/>
          <w:color w:val="000000"/>
          <w:sz w:val="32"/>
          <w:szCs w:val="32"/>
        </w:rPr>
      </w:pPr>
      <w:r>
        <w:rPr>
          <w:rFonts w:hint="eastAsia" w:ascii="黑体" w:hAnsi="黑体" w:eastAsia="黑体" w:cs="黑体"/>
          <w:color w:val="000000"/>
          <w:sz w:val="32"/>
          <w:szCs w:val="32"/>
        </w:rPr>
        <w:t>第十七条</w:t>
      </w:r>
      <w:r>
        <w:rPr>
          <w:rFonts w:hint="eastAsia" w:ascii="仿宋" w:hAnsi="仿宋" w:eastAsia="仿宋" w:cs="仿宋"/>
          <w:color w:val="000000"/>
          <w:sz w:val="32"/>
          <w:szCs w:val="32"/>
        </w:rPr>
        <w:t>【公共数据共享方式】行政机关以及公共管理和服务机构之间应当通过省大数据平台共享公共数据。</w:t>
      </w:r>
    </w:p>
    <w:p>
      <w:pPr>
        <w:spacing w:line="360" w:lineRule="auto"/>
        <w:ind w:firstLine="640" w:firstLineChars="200"/>
        <w:rPr>
          <w:rFonts w:ascii="仿宋" w:hAnsi="仿宋" w:eastAsia="仿宋" w:cs="仿宋"/>
          <w:color w:val="000000"/>
          <w:sz w:val="32"/>
          <w:szCs w:val="32"/>
        </w:rPr>
      </w:pPr>
      <w:r>
        <w:rPr>
          <w:rFonts w:hint="eastAsia" w:ascii="黑体" w:hAnsi="黑体" w:eastAsia="黑体" w:cs="黑体"/>
          <w:color w:val="000000"/>
          <w:sz w:val="32"/>
          <w:szCs w:val="32"/>
        </w:rPr>
        <w:t>第十八条</w:t>
      </w:r>
      <w:r>
        <w:rPr>
          <w:rFonts w:hint="eastAsia" w:ascii="仿宋" w:hAnsi="仿宋" w:eastAsia="仿宋" w:cs="仿宋"/>
          <w:color w:val="000000"/>
          <w:sz w:val="32"/>
          <w:szCs w:val="32"/>
        </w:rPr>
        <w:t>【公共数据共享原则】公共数据以共享为原则，不共享为例外。行政机关以及公共管理和服务机构因履行职责需要使用公共数据的，其他行政机关以及公共管理和服务机构不得无故拒绝其共享请求。</w:t>
      </w:r>
    </w:p>
    <w:p>
      <w:pPr>
        <w:ind w:firstLine="640" w:firstLineChars="200"/>
        <w:rPr>
          <w:rFonts w:ascii="仿宋" w:hAnsi="仿宋" w:eastAsia="仿宋" w:cs="仿宋"/>
          <w:color w:val="000000"/>
          <w:sz w:val="32"/>
          <w:szCs w:val="32"/>
        </w:rPr>
      </w:pPr>
      <w:r>
        <w:rPr>
          <w:rFonts w:hint="eastAsia" w:ascii="黑体" w:hAnsi="黑体" w:eastAsia="黑体" w:cs="黑体"/>
          <w:color w:val="000000"/>
          <w:sz w:val="32"/>
          <w:szCs w:val="32"/>
        </w:rPr>
        <w:t>第十九条</w:t>
      </w:r>
      <w:r>
        <w:rPr>
          <w:rFonts w:hint="eastAsia" w:ascii="仿宋" w:hAnsi="仿宋" w:eastAsia="仿宋" w:cs="仿宋"/>
          <w:color w:val="000000"/>
          <w:sz w:val="32"/>
          <w:szCs w:val="32"/>
        </w:rPr>
        <w:t>【公共数据分类共享】公共数据包括无条件共享数据、授权共享数据和非共享数据。省政务服务和数字化建设管理部门应当制定省级公共数据共享责任清单、需求清单和负面清单。市（州）政务服务和数字化建设管理部门应当依据省级清单，制定本地区公共数据共享责任清单、需求清单和负面清单。</w:t>
      </w:r>
    </w:p>
    <w:p>
      <w:pPr>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属于无条件共享的公共数据，数据提供者应按照公共数据共享清单的要求，按照统一标准报送省大数据平台，平台应当无条件提供访问权限。</w:t>
      </w:r>
    </w:p>
    <w:p>
      <w:pPr>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属于授权共享的公共数据，数据提供者应当明确公共数据的共享条件、共享范围和使用用途。数据使用者通过省大数据平台提出申请，由省政务服务和数字化建设管理部门会同省人民政府各部门进行审核。</w:t>
      </w:r>
    </w:p>
    <w:p>
      <w:pPr>
        <w:ind w:firstLine="640" w:firstLineChars="200"/>
        <w:rPr>
          <w:rFonts w:ascii="仿宋" w:hAnsi="仿宋" w:eastAsia="仿宋" w:cs="仿宋"/>
          <w:color w:val="000000"/>
          <w:sz w:val="32"/>
          <w:szCs w:val="32"/>
        </w:rPr>
      </w:pPr>
      <w:r>
        <w:rPr>
          <w:rFonts w:hint="eastAsia" w:ascii="黑体" w:hAnsi="黑体" w:eastAsia="黑体" w:cs="黑体"/>
          <w:color w:val="000000"/>
          <w:sz w:val="32"/>
          <w:szCs w:val="32"/>
        </w:rPr>
        <w:t>第二十条</w:t>
      </w:r>
      <w:r>
        <w:rPr>
          <w:rFonts w:hint="eastAsia" w:ascii="仿宋" w:hAnsi="仿宋" w:eastAsia="仿宋" w:cs="仿宋"/>
          <w:color w:val="000000"/>
          <w:sz w:val="32"/>
          <w:szCs w:val="32"/>
        </w:rPr>
        <w:t>【共享数据使用要求】行政机关以及公共管理和服务机构应按照本机构履行职责的需要使用共享公共数据，不得以任何形式提供给第三方，也不得用于其他目的。</w:t>
      </w:r>
    </w:p>
    <w:p>
      <w:pPr>
        <w:ind w:firstLine="640" w:firstLineChars="200"/>
        <w:rPr>
          <w:rFonts w:ascii="仿宋" w:hAnsi="仿宋" w:eastAsia="仿宋" w:cs="仿宋"/>
          <w:color w:val="000000"/>
          <w:sz w:val="32"/>
          <w:szCs w:val="32"/>
        </w:rPr>
      </w:pPr>
      <w:r>
        <w:rPr>
          <w:rFonts w:hint="eastAsia" w:ascii="黑体" w:hAnsi="黑体" w:eastAsia="黑体" w:cs="黑体"/>
          <w:color w:val="000000"/>
          <w:sz w:val="32"/>
          <w:szCs w:val="32"/>
        </w:rPr>
        <w:t>第二十一条</w:t>
      </w:r>
      <w:r>
        <w:rPr>
          <w:rFonts w:hint="eastAsia" w:ascii="仿宋" w:hAnsi="仿宋" w:eastAsia="仿宋" w:cs="仿宋"/>
          <w:color w:val="000000"/>
          <w:sz w:val="32"/>
          <w:szCs w:val="32"/>
        </w:rPr>
        <w:t>【共享数据的效力】行政机关以及公共管理和服务机构通过省大数据平台获取的文书类、证照类、合同类公共数据，与纸质原件具有同等效力，可以作为行政管理、服务和执法的依据。</w:t>
      </w:r>
    </w:p>
    <w:p>
      <w:pPr>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行政机关以及公共管理和服务机构办理公民、法人和其他组织的申请事项，可以通过省大数据平台获取数据的，不得要求申请人重复提交，但法律、行政法规规定不适用电子文书的情形除外。</w:t>
      </w:r>
    </w:p>
    <w:p>
      <w:pPr>
        <w:spacing w:line="360" w:lineRule="auto"/>
        <w:ind w:firstLine="640" w:firstLineChars="200"/>
        <w:rPr>
          <w:rFonts w:ascii="仿宋" w:hAnsi="仿宋" w:eastAsia="仿宋" w:cs="仿宋"/>
          <w:color w:val="000000"/>
          <w:sz w:val="32"/>
          <w:szCs w:val="32"/>
        </w:rPr>
      </w:pPr>
      <w:r>
        <w:rPr>
          <w:rFonts w:hint="eastAsia" w:ascii="黑体" w:hAnsi="黑体" w:eastAsia="黑体" w:cs="黑体"/>
          <w:color w:val="000000"/>
          <w:sz w:val="32"/>
          <w:szCs w:val="32"/>
        </w:rPr>
        <w:t>第二十二条</w:t>
      </w:r>
      <w:r>
        <w:rPr>
          <w:rFonts w:hint="eastAsia" w:ascii="仿宋" w:hAnsi="仿宋" w:eastAsia="仿宋" w:cs="仿宋"/>
          <w:color w:val="000000"/>
          <w:sz w:val="32"/>
          <w:szCs w:val="32"/>
        </w:rPr>
        <w:t>【公共数据开放原则】省政务服务和数字化建设管理部门应当以需求为导向，遵循统一标准、便捷高效、安全可控的原则，利用省大数据平台，依法有序推进面向公民、法人和其他组织的公共数据开放。</w:t>
      </w:r>
    </w:p>
    <w:p>
      <w:pPr>
        <w:ind w:firstLine="640" w:firstLineChars="200"/>
        <w:rPr>
          <w:rFonts w:ascii="仿宋" w:hAnsi="仿宋" w:eastAsia="仿宋" w:cs="仿宋"/>
          <w:color w:val="000000"/>
          <w:sz w:val="32"/>
          <w:szCs w:val="32"/>
        </w:rPr>
      </w:pPr>
      <w:r>
        <w:rPr>
          <w:rFonts w:hint="eastAsia" w:ascii="黑体" w:hAnsi="黑体" w:eastAsia="黑体" w:cs="黑体"/>
          <w:color w:val="000000"/>
          <w:sz w:val="32"/>
          <w:szCs w:val="32"/>
        </w:rPr>
        <w:t>第二十三条</w:t>
      </w:r>
      <w:r>
        <w:rPr>
          <w:rFonts w:hint="eastAsia" w:ascii="仿宋" w:hAnsi="仿宋" w:eastAsia="仿宋" w:cs="仿宋"/>
          <w:color w:val="000000"/>
          <w:sz w:val="32"/>
          <w:szCs w:val="32"/>
        </w:rPr>
        <w:t>【公共数据开放分类】公共数据分为无条件开放数据、有条件开放数据和非开放数据。行政机关以及公共管理和服务机构应当按照相关标准，在公共数据资源目录范围内，制定本单位公共数据开放清单，向社会公布并动态更新。通过共享、协商等方式获取的公共数据不得纳入本单位的数据开放清单。</w:t>
      </w:r>
    </w:p>
    <w:p>
      <w:pPr>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属于无条件开放的公共数据，行政机关以及公共管理和服务机构应当通过省大数据平台主动向社会开放。</w:t>
      </w:r>
    </w:p>
    <w:p>
      <w:pPr>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属于有条件开放的公共数据，行政机关以及公共管理和服务机构应明确公共数据的开放条件、开放范围和使用用途等信息，公民、法人和其他组织可以通过省大数据平台向公共管理和服务机构提出申请，说明申请开放的数据名称、数据需求类型、数据描述、数据用途等相关信息，行政机关以及公共管理和服务机构应在接到申请10个工作日内予以答复，符合开放条件的，可通过省大数据平台开放。</w:t>
      </w:r>
    </w:p>
    <w:p>
      <w:pPr>
        <w:ind w:firstLine="570"/>
        <w:rPr>
          <w:rFonts w:ascii="仿宋" w:hAnsi="仿宋" w:eastAsia="仿宋" w:cs="仿宋"/>
          <w:color w:val="000000"/>
          <w:sz w:val="32"/>
          <w:szCs w:val="32"/>
        </w:rPr>
      </w:pPr>
      <w:r>
        <w:rPr>
          <w:rFonts w:hint="eastAsia" w:ascii="黑体" w:hAnsi="黑体" w:eastAsia="黑体" w:cs="黑体"/>
          <w:color w:val="000000"/>
          <w:sz w:val="32"/>
          <w:szCs w:val="32"/>
        </w:rPr>
        <w:t>第二十四条</w:t>
      </w:r>
      <w:r>
        <w:rPr>
          <w:rFonts w:hint="eastAsia" w:ascii="仿宋" w:hAnsi="仿宋" w:eastAsia="仿宋" w:cs="仿宋"/>
          <w:color w:val="000000"/>
          <w:sz w:val="32"/>
          <w:szCs w:val="32"/>
        </w:rPr>
        <w:t>【开放数据利用】各级人民政府应当通过产业政策引导、社会资本引入等方式，鼓励公民、法人和其他组织开发利用开放数据，推动公共数据开放，提升公共数据应用水平。</w:t>
      </w:r>
    </w:p>
    <w:p>
      <w:pPr>
        <w:ind w:firstLine="640" w:firstLineChars="200"/>
        <w:rPr>
          <w:rFonts w:ascii="仿宋" w:hAnsi="仿宋" w:eastAsia="仿宋" w:cs="仿宋"/>
          <w:color w:val="000000"/>
          <w:sz w:val="32"/>
          <w:szCs w:val="32"/>
        </w:rPr>
      </w:pPr>
      <w:r>
        <w:rPr>
          <w:rFonts w:hint="eastAsia" w:ascii="黑体" w:hAnsi="黑体" w:eastAsia="黑体" w:cs="黑体"/>
          <w:color w:val="000000"/>
          <w:sz w:val="32"/>
          <w:szCs w:val="32"/>
        </w:rPr>
        <w:t>第二十五条</w:t>
      </w:r>
      <w:r>
        <w:rPr>
          <w:rFonts w:hint="eastAsia" w:ascii="仿宋" w:hAnsi="仿宋" w:eastAsia="仿宋" w:cs="仿宋"/>
          <w:color w:val="000000"/>
          <w:sz w:val="32"/>
          <w:szCs w:val="32"/>
        </w:rPr>
        <w:t>【公共数据共享、开放情况评估】省政务服务和数字化建设管理部门应当定期收集、分析公共数据需求情况和使用情况，逐步扩大公共数据共享、开放的范围和深度。并会同相关部门建立评估机制，制定评估办法，定期评估全省公共数据共享、开放水平，也可以委托第三方机构评估，评估结果应向社会公布。</w:t>
      </w:r>
    </w:p>
    <w:p>
      <w:pPr>
        <w:pStyle w:val="2"/>
        <w:ind w:firstLine="0" w:firstLineChars="0"/>
        <w:jc w:val="center"/>
        <w:rPr>
          <w:rFonts w:ascii="黑体" w:hAnsi="黑体" w:eastAsia="黑体" w:cs="黑体"/>
          <w:b w:val="0"/>
          <w:bCs/>
          <w:color w:val="000000"/>
          <w:sz w:val="32"/>
          <w:szCs w:val="32"/>
        </w:rPr>
      </w:pPr>
      <w:bookmarkStart w:id="7" w:name="_Toc3200971"/>
      <w:bookmarkStart w:id="8" w:name="_Toc2032868360"/>
    </w:p>
    <w:p>
      <w:pPr>
        <w:pStyle w:val="2"/>
        <w:ind w:firstLine="0" w:firstLineChars="0"/>
        <w:jc w:val="center"/>
        <w:rPr>
          <w:rFonts w:ascii="黑体" w:hAnsi="黑体" w:eastAsia="黑体" w:cs="黑体"/>
          <w:b w:val="0"/>
          <w:bCs/>
          <w:color w:val="000000"/>
          <w:sz w:val="32"/>
          <w:szCs w:val="32"/>
        </w:rPr>
      </w:pPr>
      <w:r>
        <w:rPr>
          <w:rFonts w:hint="eastAsia" w:ascii="黑体" w:hAnsi="黑体" w:eastAsia="黑体" w:cs="黑体"/>
          <w:b w:val="0"/>
          <w:bCs/>
          <w:color w:val="000000"/>
          <w:sz w:val="32"/>
          <w:szCs w:val="32"/>
        </w:rPr>
        <w:t>第四章</w:t>
      </w:r>
      <w:r>
        <w:rPr>
          <w:rFonts w:hint="eastAsia" w:ascii="黑体" w:hAnsi="黑体" w:eastAsia="黑体" w:cs="黑体"/>
          <w:b w:val="0"/>
          <w:bCs/>
          <w:color w:val="000000"/>
          <w:sz w:val="32"/>
          <w:szCs w:val="32"/>
          <w:lang w:val="en-US" w:eastAsia="zh-CN"/>
        </w:rPr>
        <w:t xml:space="preserve"> </w:t>
      </w:r>
      <w:r>
        <w:rPr>
          <w:rFonts w:hint="eastAsia" w:ascii="黑体" w:hAnsi="黑体" w:eastAsia="黑体" w:cs="黑体"/>
          <w:b w:val="0"/>
          <w:bCs/>
          <w:color w:val="000000"/>
          <w:sz w:val="32"/>
          <w:szCs w:val="32"/>
        </w:rPr>
        <w:t>发展应用</w:t>
      </w:r>
      <w:bookmarkEnd w:id="7"/>
      <w:bookmarkEnd w:id="8"/>
    </w:p>
    <w:p>
      <w:pPr>
        <w:ind w:firstLine="640" w:firstLineChars="200"/>
        <w:rPr>
          <w:rFonts w:ascii="黑体" w:hAnsi="黑体" w:eastAsia="黑体" w:cs="黑体"/>
          <w:color w:val="000000"/>
          <w:sz w:val="32"/>
          <w:szCs w:val="32"/>
        </w:rPr>
      </w:pPr>
    </w:p>
    <w:p>
      <w:pPr>
        <w:ind w:firstLine="640" w:firstLineChars="200"/>
        <w:rPr>
          <w:rFonts w:ascii="仿宋" w:hAnsi="仿宋" w:eastAsia="仿宋" w:cs="仿宋"/>
          <w:color w:val="000000"/>
          <w:sz w:val="32"/>
          <w:szCs w:val="32"/>
        </w:rPr>
      </w:pPr>
      <w:r>
        <w:rPr>
          <w:rFonts w:hint="eastAsia" w:ascii="黑体" w:hAnsi="黑体" w:eastAsia="黑体" w:cs="黑体"/>
          <w:color w:val="000000"/>
          <w:sz w:val="32"/>
          <w:szCs w:val="32"/>
        </w:rPr>
        <w:t>第二十六条</w:t>
      </w:r>
      <w:r>
        <w:rPr>
          <w:rFonts w:hint="eastAsia" w:ascii="仿宋" w:hAnsi="仿宋" w:eastAsia="仿宋" w:cs="仿宋"/>
          <w:color w:val="000000"/>
          <w:sz w:val="32"/>
          <w:szCs w:val="32"/>
        </w:rPr>
        <w:t>【大数据发展应用的原则和目标】本省大数据发展应用坚持市场和服务导向，引进和培育优势企业、优质资源、优秀人才，促进公共数据资源向数据产业转变，发挥大数据商用、民用、政用价值，实现产业转型升级、服务改善民生、完善社会治理。</w:t>
      </w:r>
    </w:p>
    <w:p>
      <w:pPr>
        <w:ind w:firstLine="640" w:firstLineChars="200"/>
        <w:rPr>
          <w:rFonts w:ascii="仿宋" w:hAnsi="仿宋" w:eastAsia="仿宋" w:cs="仿宋"/>
          <w:color w:val="000000"/>
          <w:sz w:val="32"/>
          <w:szCs w:val="32"/>
        </w:rPr>
      </w:pPr>
      <w:r>
        <w:rPr>
          <w:rFonts w:hint="eastAsia" w:ascii="黑体" w:hAnsi="黑体" w:eastAsia="黑体" w:cs="黑体"/>
          <w:color w:val="000000"/>
          <w:sz w:val="32"/>
          <w:szCs w:val="32"/>
        </w:rPr>
        <w:t>第二十七条</w:t>
      </w:r>
      <w:r>
        <w:rPr>
          <w:rFonts w:hint="eastAsia" w:ascii="仿宋" w:hAnsi="仿宋" w:eastAsia="仿宋" w:cs="仿宋"/>
          <w:color w:val="000000"/>
          <w:sz w:val="32"/>
          <w:szCs w:val="32"/>
        </w:rPr>
        <w:t>【大数据在农业领域的发展应用】省、市（州）人民政府及其有关部门应当加快农业基础数据资源采集、归集与治理，加强大数据技术在农业、农村发展上的应用，鼓励开展大数据分析与决策支持服务，实现对农业的精准应用与管理，推动农业数字化转型。</w:t>
      </w:r>
    </w:p>
    <w:p>
      <w:pPr>
        <w:ind w:firstLine="640" w:firstLineChars="200"/>
        <w:rPr>
          <w:rFonts w:ascii="仿宋" w:hAnsi="仿宋" w:eastAsia="仿宋" w:cs="仿宋"/>
          <w:color w:val="000000"/>
          <w:sz w:val="32"/>
          <w:szCs w:val="32"/>
        </w:rPr>
      </w:pPr>
      <w:r>
        <w:rPr>
          <w:rFonts w:hint="eastAsia" w:ascii="黑体" w:hAnsi="黑体" w:eastAsia="黑体" w:cs="黑体"/>
          <w:color w:val="000000"/>
          <w:sz w:val="32"/>
          <w:szCs w:val="32"/>
        </w:rPr>
        <w:t>第二十八条</w:t>
      </w:r>
      <w:r>
        <w:rPr>
          <w:rFonts w:hint="eastAsia" w:ascii="仿宋" w:hAnsi="仿宋" w:eastAsia="仿宋" w:cs="仿宋"/>
          <w:color w:val="000000"/>
          <w:sz w:val="32"/>
          <w:szCs w:val="32"/>
        </w:rPr>
        <w:t>【大数据在制造业领域的发展应用】省、市（州）人民政府及其有关部门应当推动大数据技术与制造业的融合，鼓励大数据在制造业全产业链集成运用，对制造业开展升级改造，推进制造业数字化、网络化和智能化。</w:t>
      </w:r>
    </w:p>
    <w:p>
      <w:pPr>
        <w:ind w:firstLine="640" w:firstLineChars="200"/>
        <w:rPr>
          <w:rFonts w:ascii="仿宋" w:hAnsi="仿宋" w:eastAsia="仿宋" w:cs="仿宋"/>
          <w:color w:val="000000"/>
          <w:sz w:val="32"/>
          <w:szCs w:val="32"/>
        </w:rPr>
      </w:pPr>
      <w:r>
        <w:rPr>
          <w:rFonts w:hint="eastAsia" w:ascii="黑体" w:hAnsi="黑体" w:eastAsia="黑体" w:cs="黑体"/>
          <w:color w:val="000000"/>
          <w:sz w:val="32"/>
          <w:szCs w:val="32"/>
        </w:rPr>
        <w:t>第二十九条</w:t>
      </w:r>
      <w:r>
        <w:rPr>
          <w:rFonts w:hint="eastAsia" w:ascii="仿宋" w:hAnsi="仿宋" w:eastAsia="仿宋" w:cs="仿宋"/>
          <w:color w:val="000000"/>
          <w:sz w:val="32"/>
          <w:szCs w:val="32"/>
        </w:rPr>
        <w:t>【大数据在服务业领域的发展应用】省、市（州）人民政府及其有关部门应当推动大数据在服务业广泛应用，加快发展软件、物联网、数字内容等信息服务产业，支持企业开展基于大数据的第三方数据分析挖掘服务、技术外包服务和知识流程外包服务，培育发展数据采集、分析、运营等新业态。</w:t>
      </w:r>
    </w:p>
    <w:p>
      <w:pPr>
        <w:ind w:firstLine="640" w:firstLineChars="200"/>
        <w:rPr>
          <w:rFonts w:ascii="仿宋" w:hAnsi="仿宋" w:eastAsia="仿宋" w:cs="仿宋"/>
          <w:color w:val="000000"/>
          <w:sz w:val="32"/>
          <w:szCs w:val="32"/>
        </w:rPr>
      </w:pPr>
      <w:r>
        <w:rPr>
          <w:rFonts w:hint="eastAsia" w:ascii="黑体" w:hAnsi="黑体" w:eastAsia="黑体" w:cs="黑体"/>
          <w:color w:val="000000"/>
          <w:sz w:val="32"/>
          <w:szCs w:val="32"/>
        </w:rPr>
        <w:t>第三十条</w:t>
      </w:r>
      <w:r>
        <w:rPr>
          <w:rFonts w:hint="eastAsia" w:ascii="仿宋" w:hAnsi="仿宋" w:eastAsia="仿宋" w:cs="仿宋"/>
          <w:color w:val="000000"/>
          <w:sz w:val="32"/>
          <w:szCs w:val="32"/>
        </w:rPr>
        <w:t>【民生服务】省、市（州）人民政府及其有关部门应当在社会保障、劳动就业、公共安全、健康医疗、人居环境、教育文化、交通运输、旅游发展、食品安全、法律服务、生态保护等领域深化大数据应用，优化公共资源配置，开发公共服务产品，提高服务民生水平。</w:t>
      </w:r>
    </w:p>
    <w:p>
      <w:pPr>
        <w:ind w:firstLine="640" w:firstLineChars="200"/>
        <w:rPr>
          <w:rFonts w:ascii="仿宋" w:hAnsi="仿宋" w:eastAsia="仿宋" w:cs="仿宋"/>
          <w:color w:val="000000"/>
          <w:sz w:val="32"/>
          <w:szCs w:val="32"/>
        </w:rPr>
      </w:pPr>
      <w:r>
        <w:rPr>
          <w:rFonts w:hint="eastAsia" w:ascii="黑体" w:hAnsi="黑体" w:eastAsia="黑体" w:cs="黑体"/>
          <w:color w:val="000000"/>
          <w:sz w:val="32"/>
          <w:szCs w:val="32"/>
        </w:rPr>
        <w:t>第三十一条</w:t>
      </w:r>
      <w:r>
        <w:rPr>
          <w:rFonts w:hint="eastAsia" w:ascii="仿宋" w:hAnsi="仿宋" w:eastAsia="仿宋" w:cs="仿宋"/>
          <w:color w:val="000000"/>
          <w:sz w:val="32"/>
          <w:szCs w:val="32"/>
        </w:rPr>
        <w:t>【社会治理】省、市（州）人民政府及其有关部门应当推动社会治理大数据的应用，加强公共服务建设，改善公共治理方式，提高宏观调控、市场监管、公共服务等决策、管理、监督和服务能力，打造数字化社会治理新模式。</w:t>
      </w:r>
    </w:p>
    <w:p>
      <w:pPr>
        <w:ind w:firstLine="640" w:firstLineChars="200"/>
        <w:rPr>
          <w:rFonts w:ascii="仿宋" w:hAnsi="仿宋" w:eastAsia="仿宋" w:cs="仿宋"/>
          <w:color w:val="000000"/>
          <w:sz w:val="32"/>
          <w:szCs w:val="32"/>
        </w:rPr>
      </w:pPr>
      <w:r>
        <w:rPr>
          <w:rFonts w:hint="eastAsia" w:ascii="黑体" w:hAnsi="黑体" w:eastAsia="黑体" w:cs="黑体"/>
          <w:color w:val="000000"/>
          <w:sz w:val="32"/>
          <w:szCs w:val="32"/>
        </w:rPr>
        <w:t>第三十二条</w:t>
      </w:r>
      <w:r>
        <w:rPr>
          <w:rFonts w:hint="eastAsia" w:ascii="仿宋" w:hAnsi="仿宋" w:eastAsia="仿宋" w:cs="仿宋"/>
          <w:color w:val="000000"/>
          <w:sz w:val="32"/>
          <w:szCs w:val="32"/>
        </w:rPr>
        <w:t>【行政效率】省、市（州）人民政府及其有关部门应当加强大数据在行政管理中的应用研究，优化行政管理流程，推动简政放权和政府职能转变，提升政务服务水平和效率，推进新型智慧城市建设。</w:t>
      </w:r>
    </w:p>
    <w:p>
      <w:pPr>
        <w:ind w:firstLine="640" w:firstLineChars="200"/>
        <w:rPr>
          <w:rFonts w:ascii="仿宋" w:hAnsi="仿宋" w:eastAsia="仿宋" w:cs="仿宋"/>
          <w:color w:val="000000"/>
          <w:sz w:val="32"/>
          <w:szCs w:val="32"/>
        </w:rPr>
      </w:pPr>
      <w:r>
        <w:rPr>
          <w:rFonts w:hint="eastAsia" w:ascii="黑体" w:hAnsi="黑体" w:eastAsia="黑体" w:cs="黑体"/>
          <w:color w:val="000000"/>
          <w:sz w:val="32"/>
          <w:szCs w:val="32"/>
        </w:rPr>
        <w:t>第三十三条</w:t>
      </w:r>
      <w:r>
        <w:rPr>
          <w:rFonts w:hint="eastAsia" w:ascii="仿宋" w:hAnsi="仿宋" w:eastAsia="仿宋" w:cs="仿宋"/>
          <w:color w:val="000000"/>
          <w:sz w:val="32"/>
          <w:szCs w:val="32"/>
        </w:rPr>
        <w:t>【信用机制】省、市（州）人民政府及其有关部门应当推动社会信用体系建设，汇集社会信用数据，推进社会信用校验应用，加强社会信用联合奖惩机制建设。</w:t>
      </w:r>
    </w:p>
    <w:p>
      <w:pPr>
        <w:spacing w:line="360" w:lineRule="auto"/>
        <w:ind w:firstLine="640" w:firstLineChars="200"/>
        <w:rPr>
          <w:rFonts w:ascii="仿宋" w:hAnsi="仿宋" w:eastAsia="仿宋" w:cs="仿宋"/>
          <w:color w:val="000000"/>
          <w:sz w:val="32"/>
          <w:szCs w:val="32"/>
          <w:highlight w:val="none"/>
        </w:rPr>
      </w:pPr>
      <w:r>
        <w:rPr>
          <w:rFonts w:hint="eastAsia" w:ascii="黑体" w:hAnsi="黑体" w:eastAsia="黑体" w:cs="黑体"/>
          <w:color w:val="000000"/>
          <w:sz w:val="32"/>
          <w:szCs w:val="32"/>
          <w:highlight w:val="none"/>
        </w:rPr>
        <w:t>第三十四条</w:t>
      </w:r>
      <w:r>
        <w:rPr>
          <w:rFonts w:hint="eastAsia" w:ascii="仿宋" w:hAnsi="仿宋" w:eastAsia="仿宋" w:cs="仿宋"/>
          <w:color w:val="000000"/>
          <w:sz w:val="32"/>
          <w:szCs w:val="32"/>
          <w:highlight w:val="none"/>
        </w:rPr>
        <w:t>【鼓励引导数据交易】省、市（州）人民政府应当培育数据交易市场，规范数据交易行为，鼓励、引导数据依法交易流通。</w:t>
      </w:r>
    </w:p>
    <w:p>
      <w:pPr>
        <w:ind w:firstLine="640" w:firstLineChars="200"/>
        <w:rPr>
          <w:rFonts w:ascii="仿宋" w:hAnsi="仿宋" w:eastAsia="仿宋" w:cs="仿宋"/>
          <w:color w:val="000000"/>
          <w:sz w:val="32"/>
          <w:szCs w:val="32"/>
        </w:rPr>
      </w:pPr>
      <w:r>
        <w:rPr>
          <w:rFonts w:hint="eastAsia" w:ascii="黑体" w:hAnsi="黑体" w:eastAsia="黑体" w:cs="黑体"/>
          <w:color w:val="000000"/>
          <w:sz w:val="32"/>
          <w:szCs w:val="32"/>
        </w:rPr>
        <w:t>第三十五条</w:t>
      </w:r>
      <w:r>
        <w:rPr>
          <w:rFonts w:hint="eastAsia" w:ascii="仿宋" w:hAnsi="仿宋" w:eastAsia="仿宋" w:cs="仿宋"/>
          <w:color w:val="000000"/>
          <w:sz w:val="32"/>
          <w:szCs w:val="32"/>
        </w:rPr>
        <w:t>【产业体系】省、市（州）人民政府及其有关部门应当加快大数据园区建设，推动大数据产业集聚发展，培育大数据骨干企业，优化大数据产业布局，形成大中小企业协调发展的大数据产业体系。</w:t>
      </w:r>
    </w:p>
    <w:p>
      <w:pPr>
        <w:ind w:firstLine="640" w:firstLineChars="200"/>
        <w:rPr>
          <w:rFonts w:ascii="仿宋" w:hAnsi="仿宋" w:eastAsia="仿宋" w:cs="仿宋"/>
          <w:color w:val="000000"/>
          <w:sz w:val="32"/>
          <w:szCs w:val="32"/>
        </w:rPr>
      </w:pPr>
      <w:r>
        <w:rPr>
          <w:rFonts w:hint="eastAsia" w:ascii="黑体" w:hAnsi="黑体" w:eastAsia="黑体" w:cs="黑体"/>
          <w:color w:val="000000"/>
          <w:sz w:val="32"/>
          <w:szCs w:val="32"/>
        </w:rPr>
        <w:t>第三十六条</w:t>
      </w:r>
      <w:r>
        <w:rPr>
          <w:rFonts w:hint="eastAsia" w:ascii="仿宋" w:hAnsi="仿宋" w:eastAsia="仿宋" w:cs="仿宋"/>
          <w:color w:val="000000"/>
          <w:sz w:val="32"/>
          <w:szCs w:val="32"/>
        </w:rPr>
        <w:t>【自主创新】省、市（州）人民政府及其有关部门应当鼓励、支持、引导高校、科研机构、行业协会等单位和组织通过设立大数据研究院、大数据产业联盟等方式参与大数据产业发展，提高创新能力，推进前瞻性核心技术的研发，健全大数据创新体系。</w:t>
      </w:r>
    </w:p>
    <w:p>
      <w:pPr>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省、市（州）人民政府及其有关部门应当鼓励有关单位和个人开展数据收集、数据处理、数据分析、数据安全和数据应用等大数据发展应用关键技术研发，为大数据产业发展提供关键技术支撑，推动形成以创新为主要引领和支撑的数字经济。</w:t>
      </w:r>
    </w:p>
    <w:p>
      <w:pPr>
        <w:pStyle w:val="2"/>
        <w:ind w:firstLine="0" w:firstLineChars="0"/>
        <w:jc w:val="center"/>
        <w:rPr>
          <w:rFonts w:ascii="黑体" w:hAnsi="黑体" w:eastAsia="黑体" w:cs="黑体"/>
          <w:b w:val="0"/>
          <w:bCs/>
          <w:color w:val="000000"/>
          <w:sz w:val="32"/>
          <w:szCs w:val="32"/>
        </w:rPr>
      </w:pPr>
      <w:bookmarkStart w:id="9" w:name="_Toc3200972"/>
    </w:p>
    <w:p>
      <w:pPr>
        <w:pStyle w:val="2"/>
        <w:ind w:firstLine="0" w:firstLineChars="0"/>
        <w:jc w:val="center"/>
        <w:rPr>
          <w:rFonts w:ascii="黑体" w:hAnsi="黑体" w:eastAsia="黑体" w:cs="黑体"/>
          <w:b w:val="0"/>
          <w:bCs/>
          <w:color w:val="000000"/>
          <w:sz w:val="32"/>
          <w:szCs w:val="32"/>
        </w:rPr>
      </w:pPr>
      <w:r>
        <w:rPr>
          <w:rFonts w:hint="eastAsia" w:ascii="黑体" w:hAnsi="黑体" w:eastAsia="黑体" w:cs="黑体"/>
          <w:b w:val="0"/>
          <w:bCs/>
          <w:color w:val="000000"/>
          <w:sz w:val="32"/>
          <w:szCs w:val="32"/>
        </w:rPr>
        <w:t>第五章</w:t>
      </w:r>
      <w:r>
        <w:rPr>
          <w:rFonts w:hint="eastAsia" w:ascii="黑体" w:hAnsi="黑体" w:eastAsia="黑体" w:cs="黑体"/>
          <w:b w:val="0"/>
          <w:bCs/>
          <w:color w:val="000000"/>
          <w:sz w:val="32"/>
          <w:szCs w:val="32"/>
          <w:lang w:val="en-US" w:eastAsia="zh-CN"/>
        </w:rPr>
        <w:t xml:space="preserve"> </w:t>
      </w:r>
      <w:r>
        <w:rPr>
          <w:rFonts w:hint="eastAsia" w:ascii="黑体" w:hAnsi="黑体" w:eastAsia="黑体" w:cs="黑体"/>
          <w:b w:val="0"/>
          <w:bCs/>
          <w:color w:val="000000"/>
          <w:sz w:val="32"/>
          <w:szCs w:val="32"/>
        </w:rPr>
        <w:t>促进措施</w:t>
      </w:r>
      <w:bookmarkEnd w:id="9"/>
    </w:p>
    <w:p>
      <w:pPr>
        <w:ind w:firstLine="640" w:firstLineChars="200"/>
        <w:rPr>
          <w:rFonts w:ascii="黑体" w:hAnsi="黑体" w:eastAsia="黑体" w:cs="黑体"/>
          <w:color w:val="000000"/>
          <w:sz w:val="32"/>
          <w:szCs w:val="32"/>
        </w:rPr>
      </w:pPr>
    </w:p>
    <w:p>
      <w:pPr>
        <w:ind w:firstLine="640" w:firstLineChars="200"/>
        <w:rPr>
          <w:rFonts w:ascii="仿宋" w:hAnsi="仿宋" w:eastAsia="仿宋" w:cs="仿宋"/>
          <w:color w:val="000000"/>
          <w:sz w:val="32"/>
          <w:szCs w:val="32"/>
        </w:rPr>
      </w:pPr>
      <w:r>
        <w:rPr>
          <w:rFonts w:hint="eastAsia" w:ascii="黑体" w:hAnsi="黑体" w:eastAsia="黑体" w:cs="黑体"/>
          <w:color w:val="000000"/>
          <w:sz w:val="32"/>
          <w:szCs w:val="32"/>
        </w:rPr>
        <w:t>第三十七条</w:t>
      </w:r>
      <w:r>
        <w:rPr>
          <w:rFonts w:hint="eastAsia" w:ascii="仿宋" w:hAnsi="仿宋" w:eastAsia="仿宋" w:cs="仿宋"/>
          <w:color w:val="000000"/>
          <w:sz w:val="32"/>
          <w:szCs w:val="32"/>
        </w:rPr>
        <w:t>【专项项目】省、市（州）人民政府及其有关部门可以通过购买服务、以租代建、政府与社会资本合作等方式，鼓励大数据产业发展。</w:t>
      </w:r>
    </w:p>
    <w:p>
      <w:pPr>
        <w:ind w:firstLine="640" w:firstLineChars="200"/>
        <w:rPr>
          <w:rFonts w:ascii="仿宋" w:hAnsi="仿宋" w:eastAsia="仿宋" w:cs="仿宋"/>
          <w:color w:val="000000"/>
          <w:kern w:val="0"/>
          <w:sz w:val="32"/>
          <w:szCs w:val="32"/>
        </w:rPr>
      </w:pPr>
      <w:r>
        <w:rPr>
          <w:rFonts w:hint="eastAsia" w:ascii="仿宋" w:hAnsi="仿宋" w:eastAsia="仿宋" w:cs="仿宋"/>
          <w:color w:val="000000"/>
          <w:sz w:val="32"/>
          <w:szCs w:val="32"/>
        </w:rPr>
        <w:t>省、市（州）人民政府及其有关部门可以设立大数据发展应用专项项目，通过创新基金支持方式，综合应用风险投资、股权投资、担保贷款、贷款贴息、科技保险等方式，优先支持重大应用示范类和创新研发类项目，优先支持数据企业参与申报国家专项资金项目。支持大数据产业发展</w:t>
      </w:r>
      <w:r>
        <w:rPr>
          <w:rFonts w:hint="eastAsia" w:ascii="仿宋" w:hAnsi="仿宋" w:eastAsia="仿宋" w:cs="仿宋"/>
          <w:color w:val="000000"/>
          <w:kern w:val="0"/>
          <w:sz w:val="32"/>
          <w:szCs w:val="32"/>
        </w:rPr>
        <w:t>应用研究和标准制定、产业链构建、重大应用示范工程建设、创业孵化。</w:t>
      </w:r>
    </w:p>
    <w:p>
      <w:pPr>
        <w:ind w:firstLine="640" w:firstLineChars="200"/>
        <w:rPr>
          <w:rFonts w:ascii="仿宋" w:hAnsi="仿宋" w:eastAsia="仿宋" w:cs="仿宋"/>
          <w:color w:val="000000"/>
          <w:kern w:val="0"/>
          <w:sz w:val="32"/>
          <w:szCs w:val="32"/>
        </w:rPr>
      </w:pPr>
      <w:r>
        <w:rPr>
          <w:rFonts w:hint="eastAsia" w:ascii="黑体" w:hAnsi="黑体" w:eastAsia="黑体" w:cs="黑体"/>
          <w:color w:val="000000"/>
          <w:sz w:val="32"/>
          <w:szCs w:val="32"/>
        </w:rPr>
        <w:t>第三十八条</w:t>
      </w:r>
      <w:r>
        <w:rPr>
          <w:rFonts w:hint="eastAsia" w:ascii="仿宋" w:hAnsi="仿宋" w:eastAsia="仿宋" w:cs="仿宋"/>
          <w:color w:val="000000"/>
          <w:sz w:val="32"/>
          <w:szCs w:val="32"/>
        </w:rPr>
        <w:t>【专项资金】省人民政府</w:t>
      </w:r>
      <w:r>
        <w:rPr>
          <w:rFonts w:hint="eastAsia" w:ascii="仿宋" w:hAnsi="仿宋" w:eastAsia="仿宋" w:cs="仿宋"/>
          <w:color w:val="000000"/>
          <w:kern w:val="0"/>
          <w:sz w:val="32"/>
          <w:szCs w:val="32"/>
        </w:rPr>
        <w:t>建立大数据专项资金，加强省大数据平台建设专项资金保障，按照专项资金统一出口、统一管理的原则，根据省大数据平台任务需求和管理规模递增的实际情况，逐年扩大专项资金规模。</w:t>
      </w:r>
    </w:p>
    <w:p>
      <w:pPr>
        <w:ind w:firstLine="640" w:firstLineChars="200"/>
        <w:rPr>
          <w:rFonts w:ascii="仿宋" w:hAnsi="仿宋" w:eastAsia="仿宋" w:cs="仿宋"/>
          <w:color w:val="000000"/>
          <w:kern w:val="0"/>
          <w:sz w:val="32"/>
          <w:szCs w:val="32"/>
        </w:rPr>
      </w:pPr>
      <w:r>
        <w:rPr>
          <w:rFonts w:hint="eastAsia" w:ascii="黑体" w:hAnsi="黑体" w:eastAsia="黑体" w:cs="黑体"/>
          <w:color w:val="000000"/>
          <w:sz w:val="32"/>
          <w:szCs w:val="32"/>
        </w:rPr>
        <w:t>第三十九条</w:t>
      </w:r>
      <w:r>
        <w:rPr>
          <w:rFonts w:hint="eastAsia" w:ascii="仿宋" w:hAnsi="仿宋" w:eastAsia="仿宋" w:cs="仿宋"/>
          <w:color w:val="000000"/>
          <w:sz w:val="32"/>
          <w:szCs w:val="32"/>
        </w:rPr>
        <w:t>【金融支持】省、市（州）人民政府</w:t>
      </w:r>
      <w:r>
        <w:rPr>
          <w:rFonts w:hint="eastAsia" w:ascii="仿宋" w:hAnsi="仿宋" w:eastAsia="仿宋" w:cs="仿宋"/>
          <w:color w:val="000000"/>
          <w:kern w:val="0"/>
          <w:sz w:val="32"/>
          <w:szCs w:val="32"/>
        </w:rPr>
        <w:t>依法设立大数据发展引导基金，引导社会资本投资大数据发展应用。鼓励创业投资基金投向大数据产业，设立大数据产业领域专项基金。</w:t>
      </w:r>
    </w:p>
    <w:p>
      <w:pPr>
        <w:ind w:firstLine="640" w:firstLineChars="200"/>
        <w:rPr>
          <w:rFonts w:ascii="仿宋" w:hAnsi="仿宋" w:eastAsia="仿宋" w:cs="仿宋"/>
          <w:color w:val="000000"/>
          <w:kern w:val="0"/>
          <w:sz w:val="32"/>
          <w:szCs w:val="32"/>
        </w:rPr>
      </w:pPr>
      <w:r>
        <w:rPr>
          <w:rFonts w:hint="eastAsia" w:ascii="仿宋" w:hAnsi="仿宋" w:eastAsia="仿宋" w:cs="仿宋"/>
          <w:color w:val="000000"/>
          <w:kern w:val="0"/>
          <w:sz w:val="32"/>
          <w:szCs w:val="32"/>
        </w:rPr>
        <w:t>引导和鼓励金融机构创新金融产品，完善金融服务，支持大数据发展应用，为符合条件的大数据企业给予信贷支持，对为大数据企业提供担保或融资的担保公司或小额贷款公司，给予一定的风险补偿或奖励。鼓励社会资金采取风险投资、创业投资、股权投资等方式，参与大数据发展应用。鼓励、支持符合条件的大数据企业进入资本市场融资。</w:t>
      </w:r>
    </w:p>
    <w:p>
      <w:pPr>
        <w:ind w:firstLine="640" w:firstLineChars="200"/>
        <w:rPr>
          <w:rFonts w:ascii="仿宋" w:hAnsi="仿宋" w:eastAsia="仿宋" w:cs="仿宋"/>
          <w:color w:val="000000"/>
          <w:sz w:val="32"/>
          <w:szCs w:val="32"/>
        </w:rPr>
      </w:pPr>
      <w:r>
        <w:rPr>
          <w:rFonts w:hint="eastAsia" w:ascii="黑体" w:hAnsi="黑体" w:eastAsia="黑体" w:cs="黑体"/>
          <w:color w:val="000000"/>
          <w:sz w:val="32"/>
          <w:szCs w:val="32"/>
        </w:rPr>
        <w:t>第四十条</w:t>
      </w:r>
      <w:r>
        <w:rPr>
          <w:rFonts w:hint="eastAsia" w:ascii="仿宋" w:hAnsi="仿宋" w:eastAsia="仿宋" w:cs="仿宋"/>
          <w:color w:val="000000"/>
          <w:sz w:val="32"/>
          <w:szCs w:val="32"/>
        </w:rPr>
        <w:t>【财税优惠】符合国家税收优惠政策规定的大数据企业，按国家规定的上限享受相关税收优惠政策。</w:t>
      </w:r>
    </w:p>
    <w:p>
      <w:pPr>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大数据领域的高层次人才或者大数据企业员工年缴纳个人所得税达到规定数额的，按照有关规定给予奖励，具体办法由省人民政府制定。</w:t>
      </w:r>
    </w:p>
    <w:p>
      <w:pPr>
        <w:ind w:firstLine="640" w:firstLineChars="200"/>
        <w:rPr>
          <w:rFonts w:ascii="仿宋" w:hAnsi="仿宋" w:eastAsia="仿宋" w:cs="仿宋"/>
          <w:color w:val="000000"/>
          <w:sz w:val="32"/>
          <w:szCs w:val="32"/>
        </w:rPr>
      </w:pPr>
      <w:r>
        <w:rPr>
          <w:rFonts w:hint="eastAsia" w:ascii="黑体" w:hAnsi="黑体" w:eastAsia="黑体" w:cs="黑体"/>
          <w:color w:val="000000"/>
          <w:sz w:val="32"/>
          <w:szCs w:val="32"/>
        </w:rPr>
        <w:t>第四十一条</w:t>
      </w:r>
      <w:r>
        <w:rPr>
          <w:rFonts w:hint="eastAsia" w:ascii="仿宋" w:hAnsi="仿宋" w:eastAsia="仿宋" w:cs="仿宋"/>
          <w:color w:val="000000"/>
          <w:sz w:val="32"/>
          <w:szCs w:val="32"/>
        </w:rPr>
        <w:t>【采购政策】省、市（州）人民政府及其有关部门应当落实政府购买服务政策，加大对大数据应用产品和服务的采购力度。</w:t>
      </w:r>
    </w:p>
    <w:p>
      <w:pPr>
        <w:ind w:firstLine="640" w:firstLineChars="200"/>
        <w:rPr>
          <w:rFonts w:ascii="仿宋" w:hAnsi="仿宋" w:eastAsia="仿宋" w:cs="仿宋"/>
          <w:color w:val="000000"/>
          <w:sz w:val="32"/>
          <w:szCs w:val="32"/>
        </w:rPr>
      </w:pPr>
      <w:r>
        <w:rPr>
          <w:rFonts w:hint="eastAsia" w:ascii="黑体" w:hAnsi="黑体" w:eastAsia="黑体" w:cs="黑体"/>
          <w:color w:val="000000"/>
          <w:sz w:val="32"/>
          <w:szCs w:val="32"/>
        </w:rPr>
        <w:t>第四十二条</w:t>
      </w:r>
      <w:r>
        <w:rPr>
          <w:rFonts w:hint="eastAsia" w:ascii="仿宋" w:hAnsi="仿宋" w:eastAsia="仿宋" w:cs="仿宋"/>
          <w:color w:val="000000"/>
          <w:sz w:val="32"/>
          <w:szCs w:val="32"/>
        </w:rPr>
        <w:t>【政策保障】省级人民政府应当加强政策引导，出台支持大数据发展的相关政策措施，根据实际需要，对大数据产业发展提供相应的土地、用电、创业、就业等政策优惠。</w:t>
      </w:r>
    </w:p>
    <w:p>
      <w:pPr>
        <w:widowControl/>
        <w:ind w:firstLine="640" w:firstLineChars="200"/>
        <w:rPr>
          <w:rFonts w:ascii="仿宋" w:hAnsi="仿宋" w:eastAsia="仿宋" w:cs="仿宋"/>
          <w:color w:val="000000"/>
          <w:sz w:val="32"/>
          <w:szCs w:val="32"/>
        </w:rPr>
      </w:pPr>
      <w:r>
        <w:rPr>
          <w:rFonts w:hint="eastAsia" w:ascii="黑体" w:hAnsi="黑体" w:eastAsia="黑体" w:cs="黑体"/>
          <w:color w:val="000000"/>
          <w:sz w:val="32"/>
          <w:szCs w:val="32"/>
        </w:rPr>
        <w:t>第四十三条</w:t>
      </w:r>
      <w:r>
        <w:rPr>
          <w:rFonts w:hint="eastAsia" w:ascii="仿宋" w:hAnsi="仿宋" w:eastAsia="仿宋" w:cs="仿宋"/>
          <w:color w:val="000000"/>
          <w:sz w:val="32"/>
          <w:szCs w:val="32"/>
        </w:rPr>
        <w:t>【人才引育】省级人民政府应当支持科研机构、高等院校和企业与政府联合成立大数据研究院，探索大数据技术与政务服务、社会治理等方面的深度结合，探索技术创新与人才培养新模式。</w:t>
      </w:r>
    </w:p>
    <w:p>
      <w:pPr>
        <w:widowControl/>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省、市（州）人民政府应当制定大数据人才引进培养计划，积极引进领军人才和高层次人才，加强本土人才培养，并为大数据人才开展教学科研和创业创新等活动创造条件。</w:t>
      </w:r>
    </w:p>
    <w:p>
      <w:pPr>
        <w:pStyle w:val="8"/>
        <w:widowControl/>
        <w:spacing w:beforeAutospacing="0" w:afterAutospacing="0"/>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鼓励高等院校、科研院所和企业建设产学研结合的合作平台，采取开设大数据相关专业或建立实训基地等方式，定向培养大数据专业人才，对作出突出贡献的大数据人才按照有关规定予以奖励。</w:t>
      </w:r>
    </w:p>
    <w:p>
      <w:pPr>
        <w:ind w:firstLine="640" w:firstLineChars="200"/>
        <w:rPr>
          <w:rFonts w:ascii="仿宋" w:hAnsi="仿宋" w:eastAsia="仿宋" w:cs="仿宋"/>
          <w:color w:val="000000"/>
          <w:sz w:val="32"/>
          <w:szCs w:val="32"/>
        </w:rPr>
      </w:pPr>
      <w:r>
        <w:rPr>
          <w:rFonts w:hint="eastAsia" w:ascii="黑体" w:hAnsi="黑体" w:eastAsia="黑体" w:cs="黑体"/>
          <w:color w:val="000000"/>
          <w:sz w:val="32"/>
          <w:szCs w:val="32"/>
        </w:rPr>
        <w:t>第四十四条</w:t>
      </w:r>
      <w:r>
        <w:rPr>
          <w:rFonts w:hint="eastAsia" w:ascii="仿宋" w:hAnsi="仿宋" w:eastAsia="仿宋" w:cs="仿宋"/>
          <w:color w:val="000000"/>
          <w:sz w:val="32"/>
          <w:szCs w:val="32"/>
        </w:rPr>
        <w:t>【行业标准建设】省级人民政府应当组织相关部门进行大数据发展应用标准研究，推动数据采集、公共数据开放、指标口径、分类目录、交换接口、访问接口、数据质量、数据交易、技术产品、安全保密等关键共性标准的制定和实施。加快大数据市场交易标准体系、标准符合性评估体系的建设。鼓励大数据企业参与研究制定大数据发展应用相关标准。</w:t>
      </w:r>
    </w:p>
    <w:p>
      <w:pPr>
        <w:pStyle w:val="2"/>
        <w:ind w:firstLine="0" w:firstLineChars="0"/>
        <w:jc w:val="center"/>
        <w:rPr>
          <w:rFonts w:ascii="黑体" w:hAnsi="黑体" w:eastAsia="黑体" w:cs="黑体"/>
          <w:b w:val="0"/>
          <w:bCs/>
          <w:color w:val="000000"/>
          <w:sz w:val="32"/>
          <w:szCs w:val="32"/>
        </w:rPr>
      </w:pPr>
      <w:bookmarkStart w:id="10" w:name="_Toc1418683111"/>
      <w:bookmarkStart w:id="11" w:name="_Toc3200973"/>
    </w:p>
    <w:p>
      <w:pPr>
        <w:pStyle w:val="2"/>
        <w:ind w:firstLine="0" w:firstLineChars="0"/>
        <w:jc w:val="center"/>
        <w:rPr>
          <w:rFonts w:ascii="黑体" w:hAnsi="黑体" w:eastAsia="黑体" w:cs="黑体"/>
          <w:b w:val="0"/>
          <w:bCs/>
          <w:color w:val="000000"/>
          <w:sz w:val="32"/>
          <w:szCs w:val="32"/>
        </w:rPr>
      </w:pPr>
      <w:r>
        <w:rPr>
          <w:rFonts w:hint="eastAsia" w:ascii="黑体" w:hAnsi="黑体" w:eastAsia="黑体" w:cs="黑体"/>
          <w:b w:val="0"/>
          <w:bCs/>
          <w:color w:val="000000"/>
          <w:sz w:val="32"/>
          <w:szCs w:val="32"/>
        </w:rPr>
        <w:t>第六章</w:t>
      </w:r>
      <w:r>
        <w:rPr>
          <w:rFonts w:hint="eastAsia" w:ascii="黑体" w:hAnsi="黑体" w:eastAsia="黑体" w:cs="黑体"/>
          <w:b w:val="0"/>
          <w:bCs/>
          <w:color w:val="000000"/>
          <w:sz w:val="32"/>
          <w:szCs w:val="32"/>
          <w:lang w:val="en-US" w:eastAsia="zh-CN"/>
        </w:rPr>
        <w:t xml:space="preserve"> </w:t>
      </w:r>
      <w:r>
        <w:rPr>
          <w:rFonts w:hint="eastAsia" w:ascii="黑体" w:hAnsi="黑体" w:eastAsia="黑体" w:cs="黑体"/>
          <w:b w:val="0"/>
          <w:bCs/>
          <w:color w:val="000000"/>
          <w:sz w:val="32"/>
          <w:szCs w:val="32"/>
        </w:rPr>
        <w:t>数据安全</w:t>
      </w:r>
      <w:bookmarkEnd w:id="10"/>
      <w:bookmarkEnd w:id="11"/>
    </w:p>
    <w:p>
      <w:pPr>
        <w:ind w:firstLine="640" w:firstLineChars="200"/>
        <w:rPr>
          <w:rFonts w:ascii="黑体" w:hAnsi="黑体" w:eastAsia="黑体" w:cs="黑体"/>
          <w:color w:val="000000"/>
          <w:sz w:val="32"/>
          <w:szCs w:val="32"/>
        </w:rPr>
      </w:pPr>
    </w:p>
    <w:p>
      <w:pPr>
        <w:ind w:firstLine="640" w:firstLineChars="200"/>
        <w:rPr>
          <w:rFonts w:ascii="仿宋" w:hAnsi="仿宋" w:eastAsia="仿宋" w:cs="仿宋"/>
          <w:color w:val="000000"/>
          <w:sz w:val="32"/>
          <w:szCs w:val="32"/>
        </w:rPr>
      </w:pPr>
      <w:r>
        <w:rPr>
          <w:rFonts w:hint="eastAsia" w:ascii="黑体" w:hAnsi="黑体" w:eastAsia="黑体" w:cs="黑体"/>
          <w:color w:val="000000"/>
          <w:sz w:val="32"/>
          <w:szCs w:val="32"/>
        </w:rPr>
        <w:t>第四十五条</w:t>
      </w:r>
      <w:r>
        <w:rPr>
          <w:rFonts w:hint="eastAsia" w:ascii="仿宋" w:hAnsi="仿宋" w:eastAsia="仿宋" w:cs="仿宋"/>
          <w:color w:val="000000"/>
          <w:sz w:val="32"/>
          <w:szCs w:val="32"/>
        </w:rPr>
        <w:t>【一般规定】各级人民政府及有关部门、公民、法人和其他组织应当树立数据安全意识，提高数据安全保护能力，维护数据安全。</w:t>
      </w:r>
    </w:p>
    <w:p>
      <w:pPr>
        <w:ind w:firstLine="640" w:firstLineChars="200"/>
        <w:rPr>
          <w:rFonts w:ascii="仿宋" w:hAnsi="仿宋" w:eastAsia="仿宋" w:cs="仿宋"/>
          <w:color w:val="000000"/>
          <w:sz w:val="32"/>
          <w:szCs w:val="32"/>
        </w:rPr>
      </w:pPr>
      <w:r>
        <w:rPr>
          <w:rFonts w:hint="eastAsia" w:ascii="黑体" w:hAnsi="黑体" w:eastAsia="黑体" w:cs="黑体"/>
          <w:color w:val="000000"/>
          <w:sz w:val="32"/>
          <w:szCs w:val="32"/>
        </w:rPr>
        <w:t>第四十六条</w:t>
      </w:r>
      <w:r>
        <w:rPr>
          <w:rFonts w:hint="eastAsia" w:ascii="仿宋" w:hAnsi="仿宋" w:eastAsia="仿宋" w:cs="仿宋"/>
          <w:color w:val="000000"/>
          <w:sz w:val="32"/>
          <w:szCs w:val="32"/>
        </w:rPr>
        <w:t>【数据安全管理制度】行政机关以及公共管理和服务机构应在本地区党委网信部门指导下，建立数据安全管理制度，加强数据安全保障，推进关键信息基础设施安全保护工作。</w:t>
      </w:r>
    </w:p>
    <w:p>
      <w:pPr>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省政务服务和数字化建设管理部门应当对公共数据平台加强安全管理，建立并实施公共数据管控体系和公共数据安全认证机制。</w:t>
      </w:r>
    </w:p>
    <w:p>
      <w:pPr>
        <w:ind w:firstLine="640" w:firstLineChars="200"/>
        <w:rPr>
          <w:rFonts w:ascii="仿宋" w:hAnsi="仿宋" w:eastAsia="仿宋" w:cs="仿宋"/>
          <w:color w:val="000000"/>
          <w:sz w:val="32"/>
          <w:szCs w:val="32"/>
        </w:rPr>
      </w:pPr>
      <w:r>
        <w:rPr>
          <w:rFonts w:hint="eastAsia" w:ascii="黑体" w:hAnsi="黑体" w:eastAsia="黑体" w:cs="黑体"/>
          <w:color w:val="000000"/>
          <w:sz w:val="32"/>
          <w:szCs w:val="32"/>
        </w:rPr>
        <w:t>第四十七条</w:t>
      </w:r>
      <w:r>
        <w:rPr>
          <w:rFonts w:hint="eastAsia" w:ascii="仿宋" w:hAnsi="仿宋" w:eastAsia="仿宋" w:cs="仿宋"/>
          <w:color w:val="000000"/>
          <w:sz w:val="32"/>
          <w:szCs w:val="32"/>
        </w:rPr>
        <w:t>【数据安全等级保护】行政机关以及公共管理和服务机构应建立和完善数据安全等级保护制度，按照国家数据安全等级保护管理规范和技术标准，经其主管部门审核同意后，确定本单位的安全保护等级，并依照数据安全等级保护的有关规定报公安机关备案。</w:t>
      </w:r>
    </w:p>
    <w:p>
      <w:pPr>
        <w:ind w:firstLine="640" w:firstLineChars="200"/>
        <w:rPr>
          <w:rFonts w:ascii="仿宋" w:hAnsi="仿宋" w:eastAsia="仿宋" w:cs="仿宋"/>
          <w:bCs/>
          <w:color w:val="000000"/>
          <w:sz w:val="32"/>
          <w:szCs w:val="32"/>
        </w:rPr>
      </w:pPr>
      <w:r>
        <w:rPr>
          <w:rFonts w:hint="eastAsia" w:ascii="黑体" w:hAnsi="黑体" w:eastAsia="黑体" w:cs="黑体"/>
          <w:color w:val="000000"/>
          <w:sz w:val="32"/>
          <w:szCs w:val="32"/>
        </w:rPr>
        <w:t>第四十八条</w:t>
      </w:r>
      <w:r>
        <w:rPr>
          <w:rFonts w:hint="eastAsia" w:ascii="仿宋" w:hAnsi="仿宋" w:eastAsia="仿宋" w:cs="仿宋"/>
          <w:color w:val="000000"/>
          <w:sz w:val="32"/>
          <w:szCs w:val="32"/>
        </w:rPr>
        <w:t>【数据风险评估机制】省政务服务和数字化建设管理部门应当定期组织开展重要应用系统和公共数据资源安全风险评估。</w:t>
      </w:r>
    </w:p>
    <w:p>
      <w:pPr>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行政机关以及公共管理和服务机构应当设置或者确定专门的安全管理机构，并确定安全管理责任人，定期组织开展系统的安全测评和风险评估，保障信息系统安全。</w:t>
      </w:r>
    </w:p>
    <w:p>
      <w:pPr>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有关行业组织应当建立健全本行业的数据安全保护规范和协作机制，加强对数据风险的分析评估，定期向会员进行风险警示，支持、协助会员应对数据安全风险。</w:t>
      </w:r>
    </w:p>
    <w:p>
      <w:pPr>
        <w:ind w:firstLine="640" w:firstLineChars="200"/>
        <w:rPr>
          <w:rFonts w:ascii="仿宋" w:hAnsi="仿宋" w:eastAsia="仿宋" w:cs="仿宋"/>
          <w:color w:val="000000"/>
          <w:sz w:val="32"/>
          <w:szCs w:val="32"/>
        </w:rPr>
      </w:pPr>
      <w:r>
        <w:rPr>
          <w:rFonts w:hint="eastAsia" w:ascii="黑体" w:hAnsi="黑体" w:eastAsia="黑体" w:cs="黑体"/>
          <w:color w:val="000000"/>
          <w:sz w:val="32"/>
          <w:szCs w:val="32"/>
        </w:rPr>
        <w:t>第四十九条</w:t>
      </w:r>
      <w:r>
        <w:rPr>
          <w:rFonts w:hint="eastAsia" w:ascii="仿宋" w:hAnsi="仿宋" w:eastAsia="仿宋" w:cs="仿宋"/>
          <w:color w:val="000000"/>
          <w:sz w:val="32"/>
          <w:szCs w:val="32"/>
        </w:rPr>
        <w:t>【数据安全监测预警机制】省、市（州）人民政府公安、国家安全等有关部门负责开展本区域网络安全监测预警和信息通报工作，加强大数据环境下防攻击、防泄露、防窃取的监测、预警能力建设，保障数据安全。</w:t>
      </w:r>
    </w:p>
    <w:p>
      <w:pPr>
        <w:ind w:firstLine="640" w:firstLineChars="200"/>
        <w:rPr>
          <w:rFonts w:ascii="仿宋" w:hAnsi="仿宋" w:eastAsia="仿宋" w:cs="仿宋"/>
          <w:color w:val="000000"/>
          <w:sz w:val="32"/>
          <w:szCs w:val="32"/>
        </w:rPr>
      </w:pPr>
      <w:r>
        <w:rPr>
          <w:rFonts w:hint="eastAsia" w:ascii="黑体" w:hAnsi="黑体" w:eastAsia="黑体" w:cs="黑体"/>
          <w:color w:val="000000"/>
          <w:sz w:val="32"/>
          <w:szCs w:val="32"/>
        </w:rPr>
        <w:t>第五十条</w:t>
      </w:r>
      <w:r>
        <w:rPr>
          <w:rFonts w:hint="eastAsia" w:ascii="仿宋" w:hAnsi="仿宋" w:eastAsia="仿宋" w:cs="仿宋"/>
          <w:color w:val="000000"/>
          <w:sz w:val="32"/>
          <w:szCs w:val="32"/>
        </w:rPr>
        <w:t>【数据安全应急处置机制】行政机关以及公共管理和服务机构应当制定数据安全事件应急预案，并定期组织演练。发生数据安全事件时，应当立即启动数据安全事件应急预案，采取技术措施和其他必要措施降低损害程度，防止危害扩大，保存相关记录，依照规定向有关部门报告，并及时向社会发布与公众有关的警示信息。</w:t>
      </w:r>
    </w:p>
    <w:p>
      <w:pPr>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对数据安全事件情况，不得隐瞒不报、谎报或者拖延不报。</w:t>
      </w:r>
    </w:p>
    <w:p>
      <w:pPr>
        <w:ind w:firstLine="640" w:firstLineChars="200"/>
        <w:rPr>
          <w:rFonts w:ascii="黑体" w:hAnsi="黑体" w:eastAsia="黑体" w:cs="黑体"/>
          <w:sz w:val="32"/>
          <w:szCs w:val="32"/>
        </w:rPr>
      </w:pPr>
      <w:r>
        <w:rPr>
          <w:rFonts w:hint="eastAsia" w:ascii="黑体" w:hAnsi="黑体" w:eastAsia="黑体" w:cs="黑体"/>
          <w:sz w:val="32"/>
          <w:szCs w:val="32"/>
        </w:rPr>
        <w:t>第</w:t>
      </w:r>
      <w:r>
        <w:rPr>
          <w:rFonts w:hint="eastAsia" w:ascii="黑体" w:hAnsi="黑体" w:eastAsia="黑体" w:cs="黑体"/>
          <w:color w:val="000000"/>
          <w:sz w:val="32"/>
          <w:szCs w:val="32"/>
        </w:rPr>
        <w:t>五十一</w:t>
      </w:r>
      <w:r>
        <w:rPr>
          <w:rFonts w:hint="eastAsia" w:ascii="黑体" w:hAnsi="黑体" w:eastAsia="黑体" w:cs="黑体"/>
          <w:sz w:val="32"/>
          <w:szCs w:val="32"/>
        </w:rPr>
        <w:t>条</w:t>
      </w:r>
      <w:r>
        <w:rPr>
          <w:rFonts w:hint="eastAsia" w:ascii="仿宋" w:hAnsi="仿宋" w:eastAsia="仿宋" w:cs="仿宋"/>
          <w:sz w:val="32"/>
          <w:szCs w:val="32"/>
        </w:rPr>
        <w:t>【</w:t>
      </w:r>
      <w:r>
        <w:rPr>
          <w:rFonts w:ascii="仿宋" w:hAnsi="仿宋" w:eastAsia="仿宋" w:cs="仿宋"/>
          <w:sz w:val="32"/>
          <w:szCs w:val="32"/>
        </w:rPr>
        <w:t>禁止非法采集、销售数据</w:t>
      </w:r>
      <w:r>
        <w:rPr>
          <w:rFonts w:hint="eastAsia" w:ascii="仿宋" w:hAnsi="仿宋" w:eastAsia="仿宋" w:cs="仿宋"/>
          <w:sz w:val="32"/>
          <w:szCs w:val="32"/>
        </w:rPr>
        <w:t>】任何单位或者个人不得非法采集</w:t>
      </w:r>
      <w:r>
        <w:rPr>
          <w:rFonts w:ascii="仿宋" w:hAnsi="仿宋" w:eastAsia="仿宋" w:cs="仿宋"/>
          <w:sz w:val="32"/>
          <w:szCs w:val="32"/>
        </w:rPr>
        <w:t>、销售</w:t>
      </w:r>
      <w:r>
        <w:rPr>
          <w:rFonts w:hint="eastAsia" w:ascii="仿宋" w:hAnsi="仿宋" w:eastAsia="仿宋" w:cs="仿宋"/>
          <w:sz w:val="32"/>
          <w:szCs w:val="32"/>
        </w:rPr>
        <w:t>涉及国家利益、公共安全、商业秘密、个人隐私、军工科研生产等数据，采集数据不得损害被采集人的合法权益。</w:t>
      </w:r>
    </w:p>
    <w:p>
      <w:pPr>
        <w:ind w:firstLine="640" w:firstLineChars="200"/>
        <w:rPr>
          <w:rFonts w:ascii="仿宋" w:hAnsi="仿宋" w:eastAsia="仿宋" w:cs="仿宋"/>
          <w:sz w:val="32"/>
          <w:szCs w:val="32"/>
        </w:rPr>
      </w:pPr>
      <w:r>
        <w:rPr>
          <w:rFonts w:hint="eastAsia" w:ascii="黑体" w:hAnsi="黑体" w:eastAsia="黑体" w:cs="黑体"/>
          <w:sz w:val="32"/>
          <w:szCs w:val="32"/>
        </w:rPr>
        <w:t>第</w:t>
      </w:r>
      <w:r>
        <w:rPr>
          <w:rFonts w:hint="eastAsia" w:ascii="黑体" w:hAnsi="黑体" w:eastAsia="黑体" w:cs="黑体"/>
          <w:color w:val="000000"/>
          <w:sz w:val="32"/>
          <w:szCs w:val="32"/>
        </w:rPr>
        <w:t>五十二</w:t>
      </w:r>
      <w:r>
        <w:rPr>
          <w:rFonts w:hint="eastAsia" w:ascii="黑体" w:hAnsi="黑体" w:eastAsia="黑体" w:cs="黑体"/>
          <w:sz w:val="32"/>
          <w:szCs w:val="32"/>
        </w:rPr>
        <w:t>条</w:t>
      </w:r>
      <w:r>
        <w:rPr>
          <w:rFonts w:hint="eastAsia" w:ascii="仿宋" w:hAnsi="仿宋" w:eastAsia="仿宋" w:cs="仿宋"/>
          <w:sz w:val="32"/>
          <w:szCs w:val="32"/>
        </w:rPr>
        <w:t>【个人信息收集安全防护】个人信息的收集、使用，应当遵循国家法律法规或有关规定，并加强对个人信息的安全防护措施，确保个人信息安全。</w:t>
      </w:r>
    </w:p>
    <w:p>
      <w:pPr>
        <w:ind w:firstLine="640" w:firstLineChars="200"/>
        <w:rPr>
          <w:rFonts w:ascii="仿宋" w:hAnsi="仿宋" w:eastAsia="仿宋" w:cs="仿宋"/>
          <w:sz w:val="32"/>
          <w:szCs w:val="32"/>
        </w:rPr>
      </w:pPr>
      <w:bookmarkStart w:id="12" w:name="_Toc3200974"/>
      <w:bookmarkStart w:id="13" w:name="_Toc296113936"/>
      <w:r>
        <w:rPr>
          <w:rFonts w:ascii="黑体" w:hAnsi="黑体" w:eastAsia="黑体" w:cs="黑体"/>
          <w:bCs/>
          <w:sz w:val="32"/>
          <w:szCs w:val="32"/>
        </w:rPr>
        <w:t>第五十三条</w:t>
      </w:r>
      <w:r>
        <w:rPr>
          <w:rFonts w:ascii="仿宋" w:hAnsi="仿宋" w:eastAsia="仿宋" w:cs="仿宋"/>
          <w:sz w:val="32"/>
          <w:szCs w:val="32"/>
        </w:rPr>
        <w:t>【禁止非法</w:t>
      </w:r>
      <w:r>
        <w:rPr>
          <w:rFonts w:hint="eastAsia" w:ascii="仿宋" w:hAnsi="仿宋" w:eastAsia="仿宋" w:cs="仿宋"/>
          <w:sz w:val="32"/>
          <w:szCs w:val="32"/>
        </w:rPr>
        <w:t>接触、破坏、侵入省大数据平台</w:t>
      </w:r>
      <w:r>
        <w:rPr>
          <w:rFonts w:ascii="仿宋" w:hAnsi="仿宋" w:eastAsia="仿宋" w:cs="仿宋"/>
          <w:sz w:val="32"/>
          <w:szCs w:val="32"/>
        </w:rPr>
        <w:t>】</w:t>
      </w:r>
      <w:r>
        <w:rPr>
          <w:rFonts w:hint="eastAsia" w:ascii="仿宋" w:hAnsi="仿宋" w:eastAsia="仿宋" w:cs="仿宋"/>
          <w:sz w:val="32"/>
          <w:szCs w:val="32"/>
        </w:rPr>
        <w:t>省大数据平台为关系我省社会安全稳定的关键计算机信息系统，</w:t>
      </w:r>
      <w:r>
        <w:rPr>
          <w:rFonts w:ascii="仿宋" w:hAnsi="仿宋" w:eastAsia="仿宋" w:cs="仿宋"/>
          <w:sz w:val="32"/>
          <w:szCs w:val="32"/>
        </w:rPr>
        <w:t>禁止以任何形式</w:t>
      </w:r>
      <w:r>
        <w:rPr>
          <w:rFonts w:hint="eastAsia" w:ascii="仿宋" w:hAnsi="仿宋" w:eastAsia="仿宋" w:cs="仿宋"/>
          <w:sz w:val="32"/>
          <w:szCs w:val="32"/>
        </w:rPr>
        <w:t>非法接触、破坏</w:t>
      </w:r>
      <w:r>
        <w:rPr>
          <w:rFonts w:ascii="仿宋" w:hAnsi="仿宋" w:eastAsia="仿宋" w:cs="仿宋"/>
          <w:sz w:val="32"/>
          <w:szCs w:val="32"/>
        </w:rPr>
        <w:t>、侵入</w:t>
      </w:r>
      <w:r>
        <w:rPr>
          <w:rFonts w:hint="eastAsia" w:ascii="仿宋" w:hAnsi="仿宋" w:eastAsia="仿宋" w:cs="仿宋"/>
          <w:sz w:val="32"/>
          <w:szCs w:val="32"/>
        </w:rPr>
        <w:t>省大数据平台</w:t>
      </w:r>
      <w:r>
        <w:rPr>
          <w:rFonts w:ascii="仿宋" w:hAnsi="仿宋" w:eastAsia="仿宋" w:cs="仿宋"/>
          <w:sz w:val="32"/>
          <w:szCs w:val="32"/>
        </w:rPr>
        <w:t>。</w:t>
      </w:r>
    </w:p>
    <w:p>
      <w:pPr>
        <w:pStyle w:val="2"/>
        <w:ind w:firstLine="0" w:firstLineChars="0"/>
        <w:jc w:val="center"/>
        <w:rPr>
          <w:rFonts w:ascii="黑体" w:hAnsi="黑体" w:eastAsia="黑体" w:cs="黑体"/>
          <w:b w:val="0"/>
          <w:bCs/>
          <w:sz w:val="32"/>
          <w:szCs w:val="32"/>
        </w:rPr>
      </w:pPr>
    </w:p>
    <w:p>
      <w:pPr>
        <w:pStyle w:val="2"/>
        <w:ind w:firstLine="0" w:firstLineChars="0"/>
        <w:jc w:val="center"/>
        <w:rPr>
          <w:rFonts w:ascii="黑体" w:hAnsi="黑体" w:eastAsia="黑体" w:cs="黑体"/>
          <w:b w:val="0"/>
          <w:bCs/>
          <w:sz w:val="32"/>
          <w:szCs w:val="32"/>
        </w:rPr>
      </w:pPr>
      <w:r>
        <w:rPr>
          <w:rFonts w:hint="eastAsia" w:ascii="黑体" w:hAnsi="黑体" w:eastAsia="黑体" w:cs="黑体"/>
          <w:b w:val="0"/>
          <w:bCs/>
          <w:sz w:val="32"/>
          <w:szCs w:val="32"/>
        </w:rPr>
        <w:t>第七章</w:t>
      </w:r>
      <w:r>
        <w:rPr>
          <w:rFonts w:hint="eastAsia" w:ascii="黑体" w:hAnsi="黑体" w:eastAsia="黑体" w:cs="黑体"/>
          <w:b w:val="0"/>
          <w:bCs/>
          <w:sz w:val="32"/>
          <w:szCs w:val="32"/>
          <w:lang w:val="en-US" w:eastAsia="zh-CN"/>
        </w:rPr>
        <w:t xml:space="preserve"> </w:t>
      </w:r>
      <w:r>
        <w:rPr>
          <w:rFonts w:hint="eastAsia" w:ascii="黑体" w:hAnsi="黑体" w:eastAsia="黑体" w:cs="黑体"/>
          <w:b w:val="0"/>
          <w:bCs/>
          <w:sz w:val="32"/>
          <w:szCs w:val="32"/>
        </w:rPr>
        <w:t>法律责任</w:t>
      </w:r>
      <w:bookmarkEnd w:id="12"/>
      <w:bookmarkEnd w:id="13"/>
    </w:p>
    <w:p>
      <w:pPr>
        <w:pStyle w:val="14"/>
        <w:ind w:firstLine="640"/>
        <w:rPr>
          <w:rFonts w:ascii="黑体" w:hAnsi="黑体" w:eastAsia="黑体" w:cs="黑体"/>
          <w:sz w:val="32"/>
          <w:szCs w:val="32"/>
        </w:rPr>
      </w:pPr>
    </w:p>
    <w:p>
      <w:pPr>
        <w:ind w:firstLine="640" w:firstLineChars="200"/>
        <w:jc w:val="left"/>
        <w:rPr>
          <w:rFonts w:ascii="仿宋" w:hAnsi="仿宋" w:eastAsia="仿宋" w:cs="仿宋"/>
          <w:sz w:val="32"/>
          <w:szCs w:val="32"/>
        </w:rPr>
      </w:pPr>
      <w:r>
        <w:rPr>
          <w:rFonts w:hint="eastAsia" w:ascii="黑体" w:hAnsi="黑体" w:eastAsia="黑体" w:cs="黑体"/>
          <w:sz w:val="32"/>
          <w:szCs w:val="32"/>
        </w:rPr>
        <w:t>第</w:t>
      </w:r>
      <w:r>
        <w:rPr>
          <w:rFonts w:hint="eastAsia" w:ascii="黑体" w:hAnsi="黑体" w:eastAsia="黑体" w:cs="黑体"/>
          <w:color w:val="000000"/>
          <w:sz w:val="32"/>
          <w:szCs w:val="32"/>
        </w:rPr>
        <w:t>五十四</w:t>
      </w:r>
      <w:r>
        <w:rPr>
          <w:rFonts w:hint="eastAsia" w:ascii="黑体" w:hAnsi="黑体" w:eastAsia="黑体" w:cs="黑体"/>
          <w:sz w:val="32"/>
          <w:szCs w:val="32"/>
        </w:rPr>
        <w:t>条</w:t>
      </w:r>
      <w:r>
        <w:rPr>
          <w:rFonts w:hint="eastAsia" w:ascii="仿宋" w:hAnsi="仿宋" w:eastAsia="仿宋" w:cs="仿宋"/>
          <w:sz w:val="32"/>
          <w:szCs w:val="32"/>
        </w:rPr>
        <w:t>【相关法律责任】违反本条例规定的行为，法律、行政法规有处罚规定的，从其规定。</w:t>
      </w:r>
    </w:p>
    <w:p>
      <w:pPr>
        <w:pStyle w:val="14"/>
        <w:ind w:firstLine="640"/>
        <w:rPr>
          <w:rFonts w:ascii="仿宋" w:hAnsi="仿宋" w:eastAsia="仿宋" w:cs="仿宋"/>
          <w:sz w:val="32"/>
          <w:szCs w:val="32"/>
          <w:highlight w:val="none"/>
        </w:rPr>
      </w:pPr>
      <w:r>
        <w:rPr>
          <w:rFonts w:hint="eastAsia" w:ascii="黑体" w:hAnsi="黑体" w:eastAsia="黑体" w:cs="黑体"/>
          <w:sz w:val="32"/>
          <w:szCs w:val="32"/>
          <w:highlight w:val="none"/>
        </w:rPr>
        <w:t>第</w:t>
      </w:r>
      <w:r>
        <w:rPr>
          <w:rFonts w:hint="eastAsia" w:ascii="黑体" w:hAnsi="黑体" w:eastAsia="黑体" w:cs="黑体"/>
          <w:color w:val="000000"/>
          <w:sz w:val="32"/>
          <w:szCs w:val="32"/>
          <w:highlight w:val="none"/>
        </w:rPr>
        <w:t>五十五</w:t>
      </w:r>
      <w:r>
        <w:rPr>
          <w:rFonts w:hint="eastAsia" w:ascii="黑体" w:hAnsi="黑体" w:eastAsia="黑体" w:cs="黑体"/>
          <w:sz w:val="32"/>
          <w:szCs w:val="32"/>
          <w:highlight w:val="none"/>
        </w:rPr>
        <w:t>条</w:t>
      </w:r>
      <w:r>
        <w:rPr>
          <w:rFonts w:hint="eastAsia" w:ascii="仿宋" w:hAnsi="仿宋" w:eastAsia="仿宋" w:cs="仿宋"/>
          <w:sz w:val="32"/>
          <w:szCs w:val="32"/>
          <w:highlight w:val="none"/>
        </w:rPr>
        <w:t>【未按规定</w:t>
      </w:r>
      <w:r>
        <w:rPr>
          <w:rFonts w:hint="eastAsia" w:ascii="仿宋" w:hAnsi="仿宋" w:eastAsia="仿宋" w:cs="仿宋"/>
          <w:color w:val="000000"/>
          <w:sz w:val="32"/>
          <w:szCs w:val="32"/>
          <w:highlight w:val="none"/>
        </w:rPr>
        <w:t>采集、</w:t>
      </w:r>
      <w:r>
        <w:rPr>
          <w:rFonts w:hint="eastAsia" w:ascii="仿宋" w:hAnsi="仿宋" w:eastAsia="仿宋" w:cs="仿宋"/>
          <w:sz w:val="32"/>
          <w:szCs w:val="32"/>
          <w:highlight w:val="none"/>
        </w:rPr>
        <w:t>应用数据等行为的责任】违反本条例第十条、第十一条、第十二条、第十三条、</w:t>
      </w:r>
      <w:r>
        <w:rPr>
          <w:rFonts w:ascii="仿宋" w:hAnsi="仿宋" w:eastAsia="仿宋" w:cs="仿宋"/>
          <w:sz w:val="32"/>
          <w:szCs w:val="32"/>
          <w:highlight w:val="none"/>
        </w:rPr>
        <w:t>第十四条、</w:t>
      </w:r>
      <w:r>
        <w:rPr>
          <w:rFonts w:hint="eastAsia" w:ascii="仿宋" w:hAnsi="仿宋" w:eastAsia="仿宋" w:cs="仿宋"/>
          <w:sz w:val="32"/>
          <w:szCs w:val="32"/>
          <w:highlight w:val="none"/>
        </w:rPr>
        <w:t>第十八条、第二十条、第二十三条、</w:t>
      </w:r>
      <w:r>
        <w:rPr>
          <w:rFonts w:ascii="仿宋" w:hAnsi="仿宋" w:eastAsia="仿宋" w:cs="仿宋"/>
          <w:sz w:val="32"/>
          <w:szCs w:val="32"/>
          <w:highlight w:val="none"/>
        </w:rPr>
        <w:t>第四十八条</w:t>
      </w:r>
      <w:r>
        <w:rPr>
          <w:rFonts w:hint="eastAsia" w:ascii="仿宋" w:hAnsi="仿宋" w:eastAsia="仿宋" w:cs="仿宋"/>
          <w:sz w:val="32"/>
          <w:szCs w:val="32"/>
          <w:highlight w:val="none"/>
          <w:lang w:eastAsia="zh-CN"/>
        </w:rPr>
        <w:t>第二、三款</w:t>
      </w:r>
      <w:r>
        <w:rPr>
          <w:rFonts w:ascii="仿宋" w:hAnsi="仿宋" w:eastAsia="仿宋" w:cs="仿宋"/>
          <w:sz w:val="32"/>
          <w:szCs w:val="32"/>
          <w:highlight w:val="none"/>
        </w:rPr>
        <w:t>、第五十</w:t>
      </w:r>
      <w:r>
        <w:rPr>
          <w:rFonts w:hint="eastAsia" w:ascii="仿宋" w:hAnsi="仿宋" w:eastAsia="仿宋" w:cs="仿宋"/>
          <w:sz w:val="32"/>
          <w:szCs w:val="32"/>
          <w:highlight w:val="none"/>
        </w:rPr>
        <w:t>二</w:t>
      </w:r>
      <w:r>
        <w:rPr>
          <w:rFonts w:ascii="仿宋" w:hAnsi="仿宋" w:eastAsia="仿宋" w:cs="仿宋"/>
          <w:sz w:val="32"/>
          <w:szCs w:val="32"/>
          <w:highlight w:val="none"/>
        </w:rPr>
        <w:t>条</w:t>
      </w:r>
      <w:r>
        <w:rPr>
          <w:rFonts w:hint="eastAsia" w:ascii="仿宋" w:hAnsi="仿宋" w:eastAsia="仿宋" w:cs="仿宋"/>
          <w:sz w:val="32"/>
          <w:szCs w:val="32"/>
          <w:highlight w:val="none"/>
        </w:rPr>
        <w:t>规定</w:t>
      </w:r>
      <w:r>
        <w:rPr>
          <w:rFonts w:hint="eastAsia" w:ascii="仿宋" w:hAnsi="仿宋" w:eastAsia="仿宋" w:cs="仿宋"/>
          <w:sz w:val="32"/>
          <w:szCs w:val="32"/>
          <w:highlight w:val="none"/>
          <w:lang w:eastAsia="zh-CN"/>
        </w:rPr>
        <w:t>的</w:t>
      </w:r>
      <w:r>
        <w:rPr>
          <w:rFonts w:hint="eastAsia" w:ascii="仿宋" w:hAnsi="仿宋" w:eastAsia="仿宋" w:cs="仿宋"/>
          <w:sz w:val="32"/>
          <w:szCs w:val="32"/>
          <w:highlight w:val="none"/>
        </w:rPr>
        <w:t>，由县级以上政务服务和数字化管理部门或者人民政府有关部门责令限期改正；逾期不改正的，给予通报批评；情节严重的，由其上级主管部门或者监察机关对直接负责的主管人员或者其他直接责任人员依法给予处分；构成犯罪的，由司法机关依法追究刑事责任。</w:t>
      </w:r>
    </w:p>
    <w:p>
      <w:pPr>
        <w:ind w:firstLine="640" w:firstLineChars="200"/>
        <w:rPr>
          <w:rFonts w:ascii="仿宋" w:hAnsi="仿宋" w:eastAsia="仿宋" w:cs="仿宋"/>
          <w:sz w:val="32"/>
          <w:szCs w:val="32"/>
        </w:rPr>
      </w:pPr>
      <w:r>
        <w:rPr>
          <w:rFonts w:hint="eastAsia" w:ascii="黑体" w:hAnsi="黑体" w:eastAsia="黑体" w:cs="黑体"/>
          <w:sz w:val="32"/>
          <w:szCs w:val="32"/>
        </w:rPr>
        <w:t>第</w:t>
      </w:r>
      <w:r>
        <w:rPr>
          <w:rFonts w:hint="eastAsia" w:ascii="黑体" w:hAnsi="黑体" w:eastAsia="黑体" w:cs="黑体"/>
          <w:color w:val="000000"/>
          <w:sz w:val="32"/>
          <w:szCs w:val="32"/>
        </w:rPr>
        <w:t>五十六</w:t>
      </w:r>
      <w:r>
        <w:rPr>
          <w:rFonts w:hint="eastAsia" w:ascii="黑体" w:hAnsi="黑体" w:eastAsia="黑体" w:cs="黑体"/>
          <w:sz w:val="32"/>
          <w:szCs w:val="32"/>
        </w:rPr>
        <w:t>条</w:t>
      </w:r>
      <w:r>
        <w:rPr>
          <w:rFonts w:hint="eastAsia" w:ascii="仿宋" w:hAnsi="仿宋" w:eastAsia="仿宋" w:cs="仿宋"/>
          <w:sz w:val="32"/>
          <w:szCs w:val="32"/>
        </w:rPr>
        <w:t>【未进行安全保护等级备案的责任】违反本条例第四十七条规定，</w:t>
      </w:r>
      <w:r>
        <w:rPr>
          <w:rFonts w:hint="eastAsia" w:ascii="仿宋" w:hAnsi="仿宋" w:eastAsia="仿宋" w:cs="仿宋"/>
          <w:color w:val="000000"/>
          <w:sz w:val="32"/>
          <w:szCs w:val="32"/>
        </w:rPr>
        <w:t>行政机关以及公共管理和服务机构</w:t>
      </w:r>
      <w:r>
        <w:rPr>
          <w:rFonts w:hint="eastAsia" w:ascii="仿宋" w:hAnsi="仿宋" w:eastAsia="仿宋" w:cs="仿宋"/>
          <w:sz w:val="32"/>
          <w:szCs w:val="32"/>
        </w:rPr>
        <w:t>未按规定进行安全保护等级备案的，由公安机关责令限期改正，并给予警告；逾期不改正的，由其上级主管部门或者监察机关对直接负责的主管人员和其他直接责任人员依法给予处分。</w:t>
      </w:r>
    </w:p>
    <w:p>
      <w:pPr>
        <w:ind w:firstLine="640" w:firstLineChars="200"/>
        <w:rPr>
          <w:rFonts w:ascii="仿宋" w:hAnsi="仿宋" w:eastAsia="仿宋" w:cs="仿宋"/>
          <w:sz w:val="32"/>
          <w:szCs w:val="32"/>
        </w:rPr>
      </w:pPr>
      <w:r>
        <w:rPr>
          <w:rFonts w:hint="eastAsia" w:ascii="黑体" w:hAnsi="黑体" w:eastAsia="黑体" w:cs="黑体"/>
          <w:sz w:val="32"/>
          <w:szCs w:val="32"/>
        </w:rPr>
        <w:t>第</w:t>
      </w:r>
      <w:r>
        <w:rPr>
          <w:rFonts w:hint="eastAsia" w:ascii="黑体" w:hAnsi="黑体" w:eastAsia="黑体" w:cs="黑体"/>
          <w:color w:val="000000"/>
          <w:sz w:val="32"/>
          <w:szCs w:val="32"/>
        </w:rPr>
        <w:t>五十七</w:t>
      </w:r>
      <w:r>
        <w:rPr>
          <w:rFonts w:hint="eastAsia" w:ascii="黑体" w:hAnsi="黑体" w:eastAsia="黑体" w:cs="黑体"/>
          <w:sz w:val="32"/>
          <w:szCs w:val="32"/>
        </w:rPr>
        <w:t>条</w:t>
      </w:r>
      <w:r>
        <w:rPr>
          <w:rFonts w:hint="eastAsia" w:ascii="仿宋" w:hAnsi="仿宋" w:eastAsia="仿宋" w:cs="仿宋"/>
          <w:sz w:val="32"/>
          <w:szCs w:val="32"/>
        </w:rPr>
        <w:t>【违反数据安全应急处置义务的责任】违反本条例第五十条规定，</w:t>
      </w:r>
      <w:r>
        <w:rPr>
          <w:rFonts w:hint="eastAsia" w:ascii="仿宋" w:hAnsi="仿宋" w:eastAsia="仿宋" w:cs="仿宋"/>
          <w:color w:val="000000"/>
          <w:sz w:val="32"/>
          <w:szCs w:val="32"/>
        </w:rPr>
        <w:t>行政机关以及公共管理和服务机构</w:t>
      </w:r>
      <w:r>
        <w:rPr>
          <w:rFonts w:hint="eastAsia" w:ascii="仿宋" w:hAnsi="仿宋" w:eastAsia="仿宋" w:cs="仿宋"/>
          <w:sz w:val="32"/>
          <w:szCs w:val="32"/>
        </w:rPr>
        <w:t>未按规定落实数据安全事件应急处置预案，或者对数据安全事件情况隐瞒不报、谎报或者拖延不报的，由</w:t>
      </w:r>
      <w:r>
        <w:rPr>
          <w:rFonts w:hint="eastAsia" w:ascii="仿宋" w:hAnsi="仿宋" w:eastAsia="仿宋" w:cs="仿宋"/>
          <w:sz w:val="32"/>
          <w:szCs w:val="32"/>
          <w:lang w:val="zh-CN"/>
        </w:rPr>
        <w:t>县级以上信息化主管部门</w:t>
      </w:r>
      <w:r>
        <w:rPr>
          <w:rFonts w:hint="eastAsia" w:ascii="仿宋" w:hAnsi="仿宋" w:eastAsia="仿宋" w:cs="仿宋"/>
          <w:sz w:val="32"/>
          <w:szCs w:val="32"/>
        </w:rPr>
        <w:t>予以警告，并由有关主管部门对直接负责的主管人员和其他直接责任人员依法给予处分。</w:t>
      </w:r>
    </w:p>
    <w:p>
      <w:pPr>
        <w:ind w:firstLine="640" w:firstLineChars="200"/>
        <w:rPr>
          <w:rFonts w:ascii="仿宋" w:hAnsi="仿宋" w:eastAsia="仿宋" w:cs="仿宋"/>
          <w:sz w:val="32"/>
          <w:szCs w:val="32"/>
        </w:rPr>
      </w:pPr>
      <w:r>
        <w:rPr>
          <w:rFonts w:hint="eastAsia" w:ascii="黑体" w:hAnsi="黑体" w:eastAsia="黑体" w:cs="黑体"/>
          <w:sz w:val="32"/>
          <w:szCs w:val="32"/>
        </w:rPr>
        <w:t>第五十八条</w:t>
      </w:r>
      <w:r>
        <w:rPr>
          <w:rFonts w:hint="eastAsia" w:ascii="仿宋" w:hAnsi="仿宋" w:eastAsia="仿宋" w:cs="仿宋"/>
          <w:sz w:val="32"/>
          <w:szCs w:val="32"/>
        </w:rPr>
        <w:t>【非法采集、销售数据的责任】违反本条例第五十一条规定，非法采集、销售涉及国家利益、公共安全和军工科研生产等数据的，</w:t>
      </w:r>
      <w:r>
        <w:rPr>
          <w:rFonts w:hint="eastAsia" w:ascii="仿宋" w:hAnsi="仿宋" w:eastAsia="仿宋" w:cs="仿宋"/>
          <w:sz w:val="32"/>
          <w:szCs w:val="32"/>
          <w:lang w:eastAsia="zh-CN"/>
        </w:rPr>
        <w:t>由有关部门</w:t>
      </w:r>
      <w:r>
        <w:rPr>
          <w:rFonts w:hint="eastAsia" w:ascii="仿宋" w:hAnsi="仿宋" w:eastAsia="仿宋" w:cs="仿宋"/>
          <w:sz w:val="32"/>
          <w:szCs w:val="32"/>
        </w:rPr>
        <w:t>按照有关法律法规的规定处罚。</w:t>
      </w:r>
    </w:p>
    <w:p>
      <w:pPr>
        <w:ind w:firstLine="640" w:firstLineChars="200"/>
        <w:jc w:val="left"/>
        <w:rPr>
          <w:rFonts w:ascii="黑体" w:hAnsi="黑体" w:eastAsia="黑体" w:cs="黑体"/>
          <w:sz w:val="32"/>
          <w:szCs w:val="32"/>
        </w:rPr>
      </w:pPr>
      <w:r>
        <w:rPr>
          <w:rFonts w:hint="eastAsia" w:ascii="仿宋" w:hAnsi="仿宋" w:eastAsia="仿宋" w:cs="仿宋"/>
          <w:sz w:val="32"/>
          <w:szCs w:val="32"/>
        </w:rPr>
        <w:t>非法采集、销售涉及他人知识产权、商业秘密或个人信息的数据,尚不构成犯罪的，由县级以上人民政府有关主管部门没收违法所得，并可视情节轻重处以违法所得一倍以上十倍以下罚款；没有违法所得的，处以一万元以上十万元以下罚款。</w:t>
      </w:r>
    </w:p>
    <w:p>
      <w:pPr>
        <w:ind w:firstLine="640" w:firstLineChars="200"/>
        <w:jc w:val="left"/>
        <w:rPr>
          <w:rFonts w:ascii="黑体" w:hAnsi="黑体" w:eastAsia="黑体" w:cs="黑体"/>
          <w:sz w:val="32"/>
          <w:szCs w:val="32"/>
        </w:rPr>
      </w:pPr>
      <w:r>
        <w:rPr>
          <w:rFonts w:hint="eastAsia" w:ascii="黑体" w:hAnsi="黑体" w:eastAsia="黑体" w:cs="黑体"/>
          <w:sz w:val="32"/>
          <w:szCs w:val="32"/>
        </w:rPr>
        <w:t>第五十九条</w:t>
      </w:r>
      <w:r>
        <w:rPr>
          <w:rFonts w:hint="eastAsia" w:ascii="仿宋" w:hAnsi="仿宋" w:eastAsia="仿宋" w:cs="仿宋"/>
          <w:sz w:val="32"/>
          <w:szCs w:val="32"/>
        </w:rPr>
        <w:t>【非法接触、破坏、侵入省大数据平台的法律责任】违反本条例第五十三条规定，非法接触、破坏、侵入省大数据平台的，尚不构成犯罪的，由公安机关依法查处；构成犯罪的，</w:t>
      </w:r>
      <w:r>
        <w:rPr>
          <w:rFonts w:hint="eastAsia" w:ascii="仿宋" w:hAnsi="仿宋" w:eastAsia="仿宋" w:cs="仿宋"/>
          <w:sz w:val="32"/>
          <w:szCs w:val="32"/>
          <w:lang w:eastAsia="zh-CN"/>
        </w:rPr>
        <w:t>由司法机关</w:t>
      </w:r>
      <w:r>
        <w:rPr>
          <w:rFonts w:hint="eastAsia" w:ascii="仿宋" w:hAnsi="仿宋" w:eastAsia="仿宋" w:cs="仿宋"/>
          <w:sz w:val="32"/>
          <w:szCs w:val="32"/>
        </w:rPr>
        <w:t>依照追究刑事责任。</w:t>
      </w:r>
    </w:p>
    <w:p>
      <w:pPr>
        <w:ind w:firstLine="640" w:firstLineChars="200"/>
        <w:jc w:val="left"/>
        <w:rPr>
          <w:rFonts w:ascii="仿宋" w:hAnsi="仿宋" w:eastAsia="仿宋" w:cs="仿宋"/>
          <w:sz w:val="32"/>
          <w:szCs w:val="32"/>
        </w:rPr>
      </w:pPr>
      <w:r>
        <w:rPr>
          <w:rFonts w:hint="eastAsia" w:ascii="黑体" w:hAnsi="黑体" w:eastAsia="黑体" w:cs="黑体"/>
          <w:sz w:val="32"/>
          <w:szCs w:val="32"/>
        </w:rPr>
        <w:t>第六十条</w:t>
      </w:r>
      <w:r>
        <w:rPr>
          <w:rFonts w:hint="eastAsia" w:ascii="仿宋" w:hAnsi="仿宋" w:eastAsia="仿宋" w:cs="仿宋"/>
          <w:sz w:val="32"/>
          <w:szCs w:val="32"/>
        </w:rPr>
        <w:t>【妨碍大数据发展应用工作的责任】国家机关及其工作人员玩忽职守、滥用职权、徇私舞弊，妨碍大数据发展应用工作，尚不构成犯罪的，由县级以上人民政府有关主管部门对直接负责的主管人员和其他直接责任人员依法给予处分；构成犯罪的，由司法机关依法追究刑事责任。</w:t>
      </w:r>
    </w:p>
    <w:p>
      <w:pPr>
        <w:pStyle w:val="2"/>
        <w:ind w:firstLine="0" w:firstLineChars="0"/>
        <w:jc w:val="center"/>
        <w:rPr>
          <w:rFonts w:ascii="黑体" w:hAnsi="黑体" w:eastAsia="黑体" w:cs="黑体"/>
          <w:b w:val="0"/>
          <w:bCs/>
          <w:sz w:val="32"/>
          <w:szCs w:val="32"/>
        </w:rPr>
      </w:pPr>
      <w:bookmarkStart w:id="14" w:name="_Toc3200975"/>
      <w:bookmarkStart w:id="15" w:name="_Toc1067312253"/>
    </w:p>
    <w:p>
      <w:pPr>
        <w:pStyle w:val="2"/>
        <w:numPr>
          <w:numId w:val="0"/>
        </w:numPr>
        <w:jc w:val="center"/>
        <w:rPr>
          <w:rFonts w:ascii="黑体" w:hAnsi="黑体" w:eastAsia="黑体" w:cs="黑体"/>
          <w:b w:val="0"/>
          <w:bCs/>
          <w:sz w:val="32"/>
          <w:szCs w:val="32"/>
        </w:rPr>
      </w:pPr>
      <w:r>
        <w:rPr>
          <w:rFonts w:hint="eastAsia" w:ascii="黑体" w:hAnsi="黑体" w:eastAsia="黑体" w:cs="黑体"/>
          <w:b w:val="0"/>
          <w:bCs/>
          <w:sz w:val="32"/>
          <w:szCs w:val="32"/>
          <w:lang w:eastAsia="zh-CN"/>
        </w:rPr>
        <w:t>第八章</w:t>
      </w:r>
      <w:r>
        <w:rPr>
          <w:rFonts w:hint="eastAsia" w:ascii="黑体" w:hAnsi="黑体" w:eastAsia="黑体" w:cs="黑体"/>
          <w:b w:val="0"/>
          <w:bCs/>
          <w:sz w:val="32"/>
          <w:szCs w:val="32"/>
          <w:lang w:val="en-US" w:eastAsia="zh-CN"/>
        </w:rPr>
        <w:t xml:space="preserve"> </w:t>
      </w:r>
      <w:r>
        <w:rPr>
          <w:rFonts w:hint="eastAsia" w:ascii="黑体" w:hAnsi="黑体" w:eastAsia="黑体" w:cs="黑体"/>
          <w:b w:val="0"/>
          <w:bCs/>
          <w:sz w:val="32"/>
          <w:szCs w:val="32"/>
        </w:rPr>
        <w:t>附则</w:t>
      </w:r>
      <w:bookmarkEnd w:id="14"/>
      <w:bookmarkEnd w:id="15"/>
    </w:p>
    <w:p/>
    <w:p>
      <w:pPr>
        <w:ind w:firstLine="640" w:firstLineChars="200"/>
        <w:rPr>
          <w:rFonts w:ascii="仿宋" w:hAnsi="仿宋" w:eastAsia="仿宋" w:cs="仿宋"/>
          <w:sz w:val="32"/>
          <w:szCs w:val="32"/>
        </w:rPr>
      </w:pPr>
      <w:r>
        <w:rPr>
          <w:rFonts w:hint="eastAsia" w:ascii="黑体" w:hAnsi="黑体" w:eastAsia="黑体" w:cs="黑体"/>
          <w:sz w:val="32"/>
          <w:szCs w:val="32"/>
        </w:rPr>
        <w:t>第六十一条</w:t>
      </w:r>
      <w:r>
        <w:rPr>
          <w:rFonts w:hint="eastAsia" w:ascii="仿宋" w:hAnsi="仿宋" w:eastAsia="仿宋" w:cs="仿宋"/>
          <w:sz w:val="32"/>
          <w:szCs w:val="32"/>
        </w:rPr>
        <w:t>【条例实施】本条例自公布之日起实施。</w:t>
      </w:r>
    </w:p>
    <w:p/>
    <w:sectPr>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00002FF" w:usb1="4000ACFF" w:usb2="00000001" w:usb3="00000000" w:csb0="2000019F" w:csb1="00000000"/>
  </w:font>
  <w:font w:name="宋体-简">
    <w:altName w:val="宋体"/>
    <w:panose1 w:val="00000000000000000000"/>
    <w:charset w:val="86"/>
    <w:family w:val="auto"/>
    <w:pitch w:val="default"/>
    <w:sig w:usb0="00000000" w:usb1="080F0000" w:usb2="00000000" w:usb3="00000000" w:csb0="00040000" w:csb1="00000000"/>
  </w:font>
  <w:font w:name="Calibri Light">
    <w:panose1 w:val="020F0302020204030204"/>
    <w:charset w:val="00"/>
    <w:family w:val="auto"/>
    <w:pitch w:val="default"/>
    <w:sig w:usb0="A00002EF" w:usb1="4000207B" w:usb2="00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5"/>
      <w:jc w:val="center"/>
    </w:pPr>
  </w:p>
  <w:p>
    <w:pPr>
      <w:pStyle w:val="5"/>
      <w:jc w:val="center"/>
    </w:pPr>
    <w:r>
      <w:fldChar w:fldCharType="begin"/>
    </w:r>
    <w:r>
      <w:instrText xml:space="preserve"> PAGE   \* MERGEFORMAT </w:instrText>
    </w:r>
    <w:r>
      <w:fldChar w:fldCharType="separate"/>
    </w:r>
    <w:r>
      <w:t>1</w:t>
    </w:r>
    <w:r>
      <w:rPr>
        <w:lang w:val="zh-CN"/>
      </w:rPr>
      <w:fldChar w:fldCharType="end"/>
    </w:r>
  </w:p>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558493705">
    <w:nsid w:val="5CE4BA09"/>
    <w:multiLevelType w:val="singleLevel"/>
    <w:tmpl w:val="5CE4BA09"/>
    <w:lvl w:ilvl="0" w:tentative="1">
      <w:start w:val="14"/>
      <w:numFmt w:val="chineseCounting"/>
      <w:suff w:val="nothing"/>
      <w:lvlText w:val="第%1条"/>
      <w:lvlJc w:val="left"/>
      <w:rPr>
        <w:rFonts w:ascii="黑体" w:hAnsi="黑体" w:eastAsia="黑体"/>
      </w:rPr>
    </w:lvl>
  </w:abstractNum>
  <w:abstractNum w:abstractNumId="1559015028">
    <w:nsid w:val="5CECAE74"/>
    <w:multiLevelType w:val="singleLevel"/>
    <w:tmpl w:val="5CECAE74"/>
    <w:lvl w:ilvl="0" w:tentative="1">
      <w:start w:val="3"/>
      <w:numFmt w:val="chineseCounting"/>
      <w:suff w:val="nothing"/>
      <w:lvlText w:val="第%1条"/>
      <w:lvlJc w:val="left"/>
    </w:lvl>
  </w:abstractNum>
  <w:num w:numId="1">
    <w:abstractNumId w:val="1559015028"/>
  </w:num>
  <w:num w:numId="2">
    <w:abstractNumId w:val="155849370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BreakWrappedTables/>
    <w:doNotWrapTextWithPunct/>
    <w:doNotUseEastAsianBreakRules/>
    <w:useFELayout/>
    <w:doNotUseIndentAsNumberingTabStop/>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4B6691EF"/>
    <w:rsid w:val="00044876"/>
    <w:rsid w:val="002512B7"/>
    <w:rsid w:val="002F6787"/>
    <w:rsid w:val="00584A92"/>
    <w:rsid w:val="005C270A"/>
    <w:rsid w:val="0062783F"/>
    <w:rsid w:val="00654DD6"/>
    <w:rsid w:val="00694D30"/>
    <w:rsid w:val="006D51AD"/>
    <w:rsid w:val="0073542E"/>
    <w:rsid w:val="0074483C"/>
    <w:rsid w:val="007739BF"/>
    <w:rsid w:val="007B4A31"/>
    <w:rsid w:val="00896327"/>
    <w:rsid w:val="00993D2F"/>
    <w:rsid w:val="009C7FC7"/>
    <w:rsid w:val="00AA71EA"/>
    <w:rsid w:val="00AE03F8"/>
    <w:rsid w:val="00BD6701"/>
    <w:rsid w:val="00BF5F3C"/>
    <w:rsid w:val="00C33D66"/>
    <w:rsid w:val="00CC15AB"/>
    <w:rsid w:val="00D572E0"/>
    <w:rsid w:val="00D85E27"/>
    <w:rsid w:val="00DB7E02"/>
    <w:rsid w:val="00E348B8"/>
    <w:rsid w:val="00EB5E48"/>
    <w:rsid w:val="00EE3956"/>
    <w:rsid w:val="00F37DA7"/>
    <w:rsid w:val="00F76522"/>
    <w:rsid w:val="00F76DCE"/>
    <w:rsid w:val="00F938E0"/>
    <w:rsid w:val="2F7B34A7"/>
    <w:rsid w:val="2FDDA137"/>
    <w:rsid w:val="3ECE0421"/>
    <w:rsid w:val="41E539FB"/>
    <w:rsid w:val="4B6691EF"/>
    <w:rsid w:val="4F7EF509"/>
    <w:rsid w:val="4FCC1662"/>
    <w:rsid w:val="4FF81FB2"/>
    <w:rsid w:val="59DB8F54"/>
    <w:rsid w:val="5CE24CE7"/>
    <w:rsid w:val="5FF34930"/>
    <w:rsid w:val="64452E0E"/>
    <w:rsid w:val="6FBF7BC3"/>
    <w:rsid w:val="71CFA127"/>
    <w:rsid w:val="7BFEEC40"/>
    <w:rsid w:val="7CAF50A8"/>
    <w:rsid w:val="7D1F361A"/>
    <w:rsid w:val="7DE315F3"/>
    <w:rsid w:val="7E7AB446"/>
    <w:rsid w:val="7F8DA639"/>
    <w:rsid w:val="7FA7A9E2"/>
    <w:rsid w:val="7FBF911C"/>
    <w:rsid w:val="7FFF0A59"/>
    <w:rsid w:val="7FFF152E"/>
    <w:rsid w:val="9FB73F48"/>
    <w:rsid w:val="AFDA0847"/>
    <w:rsid w:val="BFC6103B"/>
    <w:rsid w:val="BFFF7E40"/>
    <w:rsid w:val="D76E57CE"/>
    <w:rsid w:val="D7EE51AA"/>
    <w:rsid w:val="DEDAC0E8"/>
    <w:rsid w:val="DFE794CF"/>
    <w:rsid w:val="DFFFDEC1"/>
    <w:rsid w:val="F6EFD5C5"/>
    <w:rsid w:val="F7CFFC82"/>
    <w:rsid w:val="FDDF4FCE"/>
  </w:rsids>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ind w:firstLine="721" w:firstLineChars="200"/>
      <w:outlineLvl w:val="0"/>
    </w:pPr>
    <w:rPr>
      <w:rFonts w:eastAsia="宋体-简"/>
      <w:b/>
      <w:kern w:val="44"/>
      <w:sz w:val="28"/>
    </w:rPr>
  </w:style>
  <w:style w:type="character" w:default="1" w:styleId="10">
    <w:name w:val="Default Paragraph Font"/>
    <w:unhideWhenUsed/>
    <w:uiPriority w:val="1"/>
  </w:style>
  <w:style w:type="table" w:default="1" w:styleId="13">
    <w:name w:val="Normal Table"/>
    <w:unhideWhenUsed/>
    <w:qFormat/>
    <w:uiPriority w:val="99"/>
    <w:tblPr>
      <w:tblStyle w:val="13"/>
      <w:tblLayout w:type="fixed"/>
      <w:tblCellMar>
        <w:top w:w="0" w:type="dxa"/>
        <w:left w:w="108" w:type="dxa"/>
        <w:bottom w:w="0" w:type="dxa"/>
        <w:right w:w="108" w:type="dxa"/>
      </w:tblCellMar>
    </w:tblPr>
    <w:tcPr>
      <w:textDirection w:val="lrTb"/>
    </w:tcPr>
  </w:style>
  <w:style w:type="paragraph" w:styleId="3">
    <w:name w:val="annotation text"/>
    <w:basedOn w:val="1"/>
    <w:qFormat/>
    <w:uiPriority w:val="0"/>
    <w:pPr>
      <w:jc w:val="left"/>
    </w:pPr>
  </w:style>
  <w:style w:type="paragraph" w:styleId="4">
    <w:name w:val="Balloon Text"/>
    <w:basedOn w:val="1"/>
    <w:link w:val="16"/>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qFormat/>
    <w:uiPriority w:val="0"/>
  </w:style>
  <w:style w:type="paragraph" w:styleId="8">
    <w:name w:val="Normal (Web)"/>
    <w:basedOn w:val="1"/>
    <w:qFormat/>
    <w:uiPriority w:val="0"/>
    <w:pPr>
      <w:spacing w:beforeAutospacing="1" w:afterAutospacing="1"/>
      <w:jc w:val="left"/>
    </w:pPr>
    <w:rPr>
      <w:kern w:val="0"/>
      <w:sz w:val="24"/>
    </w:rPr>
  </w:style>
  <w:style w:type="paragraph" w:styleId="9">
    <w:name w:val="Title"/>
    <w:basedOn w:val="1"/>
    <w:next w:val="1"/>
    <w:qFormat/>
    <w:uiPriority w:val="0"/>
    <w:pPr>
      <w:spacing w:before="240" w:after="60"/>
      <w:jc w:val="center"/>
      <w:outlineLvl w:val="0"/>
    </w:pPr>
    <w:rPr>
      <w:rFonts w:ascii="Calibri Light" w:hAnsi="Calibri Light"/>
      <w:b/>
      <w:bCs/>
      <w:sz w:val="32"/>
      <w:szCs w:val="32"/>
    </w:rPr>
  </w:style>
  <w:style w:type="character" w:styleId="11">
    <w:name w:val="Hyperlink"/>
    <w:basedOn w:val="10"/>
    <w:qFormat/>
    <w:uiPriority w:val="0"/>
    <w:rPr>
      <w:color w:val="0563C1"/>
      <w:u w:val="single"/>
    </w:rPr>
  </w:style>
  <w:style w:type="character" w:styleId="12">
    <w:name w:val="annotation reference"/>
    <w:basedOn w:val="10"/>
    <w:uiPriority w:val="0"/>
    <w:rPr>
      <w:sz w:val="21"/>
      <w:szCs w:val="21"/>
    </w:rPr>
  </w:style>
  <w:style w:type="paragraph" w:customStyle="1" w:styleId="14">
    <w:name w:val="列表段落1"/>
    <w:basedOn w:val="1"/>
    <w:qFormat/>
    <w:uiPriority w:val="34"/>
    <w:pPr>
      <w:ind w:firstLine="420" w:firstLineChars="200"/>
    </w:pPr>
  </w:style>
  <w:style w:type="character" w:customStyle="1" w:styleId="15">
    <w:name w:val="页眉 Char"/>
    <w:basedOn w:val="10"/>
    <w:link w:val="6"/>
    <w:uiPriority w:val="0"/>
    <w:rPr>
      <w:rFonts w:ascii="Calibri" w:hAnsi="Calibri" w:eastAsia="宋体" w:cs="Times New Roman"/>
      <w:kern w:val="2"/>
      <w:sz w:val="18"/>
      <w:szCs w:val="18"/>
    </w:rPr>
  </w:style>
  <w:style w:type="character" w:customStyle="1" w:styleId="16">
    <w:name w:val="批注框文本 Char"/>
    <w:basedOn w:val="10"/>
    <w:link w:val="4"/>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18</Pages>
  <Words>1258</Words>
  <Characters>7174</Characters>
  <Lines>59</Lines>
  <Paragraphs>16</Paragraphs>
  <ScaleCrop>false</ScaleCrop>
  <LinksUpToDate>false</LinksUpToDate>
  <CharactersWithSpaces>0</CharactersWithSpaces>
  <Application>WPS Office 专业版_9.1.0.5012_F1E327BC-269C-435d-A152-05C5408002CA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2019-05-24T01:29:00Z</dcterms:created>
  <dc:creator>qiyingcheng</dc:creator>
  <cp:lastModifiedBy>lln</cp:lastModifiedBy>
  <cp:lastPrinted>2019-05-28T03:25:59Z</cp:lastPrinted>
  <dcterms:modified xsi:type="dcterms:W3CDTF">2019-05-28T03:29:50Z</dcterms:modified>
  <dc:title>吉林省促进大数据发展应用条例</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2052-9.1.0.5012</vt:lpwstr>
  </property>
</Properties>
</file>