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C8626">
      <w:pPr>
        <w:spacing w:before="65" w:line="256" w:lineRule="auto"/>
        <w:ind w:left="689" w:right="0" w:firstLine="61"/>
        <w:jc w:val="center"/>
        <w:rPr>
          <w:rFonts w:hint="default" w:ascii="Times New Roman" w:hAnsi="Times New Roman" w:eastAsia="宋体" w:cs="Times New Roman"/>
          <w:b/>
          <w:bCs/>
          <w:sz w:val="36"/>
          <w:lang w:val="en-US" w:eastAsia="zh-CN"/>
        </w:rPr>
      </w:pPr>
      <w:r>
        <w:rPr>
          <w:rFonts w:hint="default" w:ascii="Times New Roman" w:hAnsi="Times New Roman" w:cs="Times New Roman"/>
          <w:b/>
          <w:bCs/>
          <w:color w:val="231F20"/>
          <w:spacing w:val="-9"/>
          <w:w w:val="115"/>
          <w:sz w:val="36"/>
        </w:rPr>
        <w:t>Measures</w:t>
      </w:r>
      <w:r>
        <w:rPr>
          <w:rFonts w:hint="default" w:ascii="Times New Roman" w:hAnsi="Times New Roman" w:cs="Times New Roman"/>
          <w:b/>
          <w:bCs/>
          <w:color w:val="231F20"/>
          <w:spacing w:val="-40"/>
          <w:w w:val="115"/>
          <w:sz w:val="36"/>
        </w:rPr>
        <w:t xml:space="preserve"> </w:t>
      </w:r>
      <w:r>
        <w:rPr>
          <w:rFonts w:hint="default" w:ascii="Times New Roman" w:hAnsi="Times New Roman" w:cs="Times New Roman"/>
          <w:b/>
          <w:bCs/>
          <w:color w:val="231F20"/>
          <w:spacing w:val="-5"/>
          <w:w w:val="115"/>
          <w:sz w:val="36"/>
        </w:rPr>
        <w:t>of</w:t>
      </w:r>
      <w:r>
        <w:rPr>
          <w:rFonts w:hint="default" w:ascii="Times New Roman" w:hAnsi="Times New Roman" w:cs="Times New Roman"/>
          <w:b/>
          <w:bCs/>
          <w:color w:val="231F20"/>
          <w:spacing w:val="-41"/>
          <w:w w:val="115"/>
          <w:sz w:val="36"/>
        </w:rPr>
        <w:t xml:space="preserve"> </w:t>
      </w:r>
      <w:r>
        <w:rPr>
          <w:rFonts w:hint="default" w:ascii="Times New Roman" w:hAnsi="Times New Roman" w:cs="Times New Roman"/>
          <w:b/>
          <w:bCs/>
          <w:color w:val="231F20"/>
          <w:spacing w:val="-8"/>
          <w:w w:val="115"/>
          <w:sz w:val="36"/>
        </w:rPr>
        <w:t>Jilin</w:t>
      </w:r>
      <w:r>
        <w:rPr>
          <w:rFonts w:hint="default" w:ascii="Times New Roman" w:hAnsi="Times New Roman" w:cs="Times New Roman"/>
          <w:b/>
          <w:bCs/>
          <w:color w:val="231F20"/>
          <w:spacing w:val="-40"/>
          <w:w w:val="115"/>
          <w:sz w:val="36"/>
        </w:rPr>
        <w:t xml:space="preserve"> </w:t>
      </w:r>
      <w:r>
        <w:rPr>
          <w:rFonts w:hint="default" w:ascii="Times New Roman" w:hAnsi="Times New Roman" w:cs="Times New Roman"/>
          <w:b/>
          <w:bCs/>
          <w:color w:val="231F20"/>
          <w:spacing w:val="-9"/>
          <w:w w:val="115"/>
          <w:sz w:val="36"/>
        </w:rPr>
        <w:t>Province</w:t>
      </w:r>
      <w:r>
        <w:rPr>
          <w:rFonts w:hint="default" w:ascii="Times New Roman" w:hAnsi="Times New Roman" w:cs="Times New Roman"/>
          <w:b/>
          <w:bCs/>
          <w:color w:val="231F20"/>
          <w:spacing w:val="-40"/>
          <w:w w:val="115"/>
          <w:sz w:val="36"/>
        </w:rPr>
        <w:t xml:space="preserve"> </w:t>
      </w:r>
      <w:r>
        <w:rPr>
          <w:rFonts w:hint="default" w:ascii="Times New Roman" w:hAnsi="Times New Roman" w:cs="Times New Roman"/>
          <w:b/>
          <w:bCs/>
          <w:color w:val="231F20"/>
          <w:spacing w:val="-5"/>
          <w:w w:val="115"/>
          <w:sz w:val="36"/>
        </w:rPr>
        <w:t>on</w:t>
      </w:r>
      <w:r>
        <w:rPr>
          <w:rFonts w:hint="default" w:ascii="Times New Roman" w:hAnsi="Times New Roman" w:cs="Times New Roman"/>
          <w:b/>
          <w:bCs/>
          <w:color w:val="231F20"/>
          <w:spacing w:val="-40"/>
          <w:w w:val="115"/>
          <w:sz w:val="36"/>
        </w:rPr>
        <w:t xml:space="preserve"> </w:t>
      </w:r>
      <w:r>
        <w:rPr>
          <w:rFonts w:hint="default" w:ascii="Times New Roman" w:hAnsi="Times New Roman" w:cs="Times New Roman"/>
          <w:b/>
          <w:bCs/>
          <w:color w:val="231F20"/>
          <w:spacing w:val="-7"/>
          <w:w w:val="115"/>
          <w:sz w:val="36"/>
        </w:rPr>
        <w:t>the</w:t>
      </w:r>
      <w:r>
        <w:rPr>
          <w:rFonts w:hint="default" w:ascii="Times New Roman" w:hAnsi="Times New Roman" w:cs="Times New Roman"/>
          <w:b/>
          <w:bCs/>
          <w:color w:val="231F20"/>
          <w:spacing w:val="-40"/>
          <w:w w:val="115"/>
          <w:sz w:val="36"/>
        </w:rPr>
        <w:t xml:space="preserve"> </w:t>
      </w:r>
      <w:r>
        <w:rPr>
          <w:rFonts w:hint="default" w:ascii="Times New Roman" w:hAnsi="Times New Roman" w:cs="Times New Roman"/>
          <w:b/>
          <w:bCs/>
          <w:color w:val="231F20"/>
          <w:spacing w:val="-10"/>
          <w:w w:val="115"/>
          <w:sz w:val="36"/>
        </w:rPr>
        <w:t>Expropriation</w:t>
      </w:r>
      <w:r>
        <w:rPr>
          <w:rFonts w:hint="default" w:ascii="Times New Roman" w:hAnsi="Times New Roman" w:cs="Times New Roman"/>
          <w:b/>
          <w:bCs/>
          <w:color w:val="231F20"/>
          <w:spacing w:val="-40"/>
          <w:w w:val="115"/>
          <w:sz w:val="36"/>
        </w:rPr>
        <w:t xml:space="preserve"> </w:t>
      </w:r>
      <w:r>
        <w:rPr>
          <w:rFonts w:hint="default" w:ascii="Times New Roman" w:hAnsi="Times New Roman" w:cs="Times New Roman"/>
          <w:b/>
          <w:bCs/>
          <w:color w:val="231F20"/>
          <w:spacing w:val="-9"/>
          <w:w w:val="115"/>
          <w:sz w:val="36"/>
        </w:rPr>
        <w:t>of Buildings</w:t>
      </w:r>
      <w:r>
        <w:rPr>
          <w:rFonts w:hint="default" w:ascii="Times New Roman" w:hAnsi="Times New Roman" w:cs="Times New Roman"/>
          <w:b/>
          <w:bCs/>
          <w:color w:val="231F20"/>
          <w:spacing w:val="-39"/>
          <w:w w:val="115"/>
          <w:sz w:val="36"/>
        </w:rPr>
        <w:t xml:space="preserve"> </w:t>
      </w:r>
      <w:r>
        <w:rPr>
          <w:rFonts w:hint="default" w:ascii="Times New Roman" w:hAnsi="Times New Roman" w:cs="Times New Roman"/>
          <w:b/>
          <w:bCs/>
          <w:color w:val="231F20"/>
          <w:spacing w:val="-5"/>
          <w:w w:val="115"/>
          <w:sz w:val="36"/>
        </w:rPr>
        <w:t>on</w:t>
      </w:r>
      <w:r>
        <w:rPr>
          <w:rFonts w:hint="default" w:ascii="Times New Roman" w:hAnsi="Times New Roman" w:cs="Times New Roman"/>
          <w:b/>
          <w:bCs/>
          <w:color w:val="231F20"/>
          <w:spacing w:val="-38"/>
          <w:w w:val="115"/>
          <w:sz w:val="36"/>
        </w:rPr>
        <w:t xml:space="preserve"> </w:t>
      </w:r>
      <w:r>
        <w:rPr>
          <w:rFonts w:hint="default" w:ascii="Times New Roman" w:hAnsi="Times New Roman" w:cs="Times New Roman"/>
          <w:b/>
          <w:bCs/>
          <w:color w:val="231F20"/>
          <w:spacing w:val="-9"/>
          <w:w w:val="115"/>
          <w:sz w:val="36"/>
        </w:rPr>
        <w:t>State-owned</w:t>
      </w:r>
      <w:r>
        <w:rPr>
          <w:rFonts w:hint="default" w:ascii="Times New Roman" w:hAnsi="Times New Roman" w:cs="Times New Roman"/>
          <w:b/>
          <w:bCs/>
          <w:color w:val="231F20"/>
          <w:spacing w:val="-38"/>
          <w:w w:val="115"/>
          <w:sz w:val="36"/>
        </w:rPr>
        <w:t xml:space="preserve"> </w:t>
      </w:r>
      <w:r>
        <w:rPr>
          <w:rFonts w:hint="default" w:ascii="Times New Roman" w:hAnsi="Times New Roman" w:cs="Times New Roman"/>
          <w:b/>
          <w:bCs/>
          <w:color w:val="231F20"/>
          <w:spacing w:val="-8"/>
          <w:w w:val="115"/>
          <w:sz w:val="36"/>
        </w:rPr>
        <w:t>Land</w:t>
      </w:r>
      <w:r>
        <w:rPr>
          <w:rFonts w:hint="default" w:ascii="Times New Roman" w:hAnsi="Times New Roman" w:cs="Times New Roman"/>
          <w:b/>
          <w:bCs/>
          <w:color w:val="231F20"/>
          <w:spacing w:val="-39"/>
          <w:w w:val="115"/>
          <w:sz w:val="36"/>
        </w:rPr>
        <w:t xml:space="preserve"> </w:t>
      </w:r>
      <w:r>
        <w:rPr>
          <w:rFonts w:hint="default" w:ascii="Times New Roman" w:hAnsi="Times New Roman" w:cs="Times New Roman"/>
          <w:b/>
          <w:bCs/>
          <w:color w:val="231F20"/>
          <w:spacing w:val="-6"/>
          <w:w w:val="115"/>
          <w:sz w:val="36"/>
        </w:rPr>
        <w:t>and</w:t>
      </w:r>
      <w:r>
        <w:rPr>
          <w:rFonts w:hint="default" w:ascii="Times New Roman" w:hAnsi="Times New Roman" w:cs="Times New Roman"/>
          <w:b/>
          <w:bCs/>
          <w:color w:val="231F20"/>
          <w:spacing w:val="-38"/>
          <w:w w:val="115"/>
          <w:sz w:val="36"/>
        </w:rPr>
        <w:t xml:space="preserve"> </w:t>
      </w:r>
      <w:r>
        <w:rPr>
          <w:rFonts w:hint="default" w:ascii="Times New Roman" w:hAnsi="Times New Roman" w:cs="Times New Roman"/>
          <w:b/>
          <w:bCs/>
          <w:color w:val="231F20"/>
          <w:spacing w:val="-9"/>
          <w:w w:val="115"/>
          <w:sz w:val="36"/>
        </w:rPr>
        <w:t>Compensation</w:t>
      </w:r>
      <w:r>
        <w:rPr>
          <w:rFonts w:hint="default" w:ascii="Times New Roman" w:hAnsi="Times New Roman" w:eastAsia="宋体" w:cs="Times New Roman"/>
          <w:b/>
          <w:bCs/>
          <w:color w:val="231F20"/>
          <w:spacing w:val="-9"/>
          <w:w w:val="115"/>
          <w:sz w:val="36"/>
          <w:lang w:val="en-US" w:eastAsia="zh-CN"/>
        </w:rPr>
        <w:t>(2020)</w:t>
      </w:r>
    </w:p>
    <w:p w14:paraId="67236117">
      <w:pPr>
        <w:pStyle w:val="3"/>
        <w:spacing w:before="1"/>
        <w:jc w:val="both"/>
        <w:rPr>
          <w:rFonts w:ascii="PMingLiU"/>
          <w:sz w:val="18"/>
        </w:rPr>
      </w:pPr>
    </w:p>
    <w:p w14:paraId="3A8D1D07">
      <w:pPr>
        <w:spacing w:before="90" w:line="470" w:lineRule="auto"/>
        <w:ind w:left="225" w:right="103" w:firstLine="481"/>
        <w:jc w:val="center"/>
        <w:rPr>
          <w:sz w:val="24"/>
        </w:rPr>
      </w:pPr>
      <w:r>
        <w:rPr>
          <w:color w:val="231F20"/>
          <w:sz w:val="24"/>
        </w:rPr>
        <w:t>(Promulgated by Decree No. 273 of Jilin Provincial People’s Government on January 22, 2020)</w:t>
      </w:r>
    </w:p>
    <w:p w14:paraId="0BF1C5E2">
      <w:pPr>
        <w:pStyle w:val="3"/>
        <w:jc w:val="both"/>
        <w:rPr>
          <w:sz w:val="20"/>
        </w:rPr>
      </w:pPr>
    </w:p>
    <w:p w14:paraId="7F9079A4">
      <w:pPr>
        <w:pStyle w:val="3"/>
        <w:jc w:val="both"/>
        <w:rPr>
          <w:sz w:val="19"/>
        </w:rPr>
      </w:pPr>
    </w:p>
    <w:p w14:paraId="2CB83D25">
      <w:pPr>
        <w:spacing w:before="90"/>
        <w:ind w:left="1725" w:right="1742" w:firstLine="0"/>
        <w:jc w:val="center"/>
        <w:rPr>
          <w:b/>
          <w:sz w:val="24"/>
        </w:rPr>
      </w:pPr>
      <w:r>
        <w:rPr>
          <w:b/>
          <w:color w:val="231F20"/>
          <w:sz w:val="24"/>
        </w:rPr>
        <w:t>Chapter I General Provisions</w:t>
      </w:r>
    </w:p>
    <w:p w14:paraId="4167C8E9">
      <w:pPr>
        <w:pStyle w:val="3"/>
        <w:spacing w:before="3"/>
        <w:jc w:val="both"/>
        <w:rPr>
          <w:b/>
          <w:sz w:val="33"/>
        </w:rPr>
      </w:pPr>
    </w:p>
    <w:p w14:paraId="408B6037">
      <w:pPr>
        <w:pStyle w:val="3"/>
        <w:keepNext w:val="0"/>
        <w:keepLines w:val="0"/>
        <w:pageBreakBefore w:val="0"/>
        <w:widowControl w:val="0"/>
        <w:kinsoku/>
        <w:wordWrap/>
        <w:overflowPunct/>
        <w:topLinePunct w:val="0"/>
        <w:autoSpaceDE w:val="0"/>
        <w:autoSpaceDN w:val="0"/>
        <w:bidi w:val="0"/>
        <w:adjustRightInd/>
        <w:snapToGrid/>
        <w:spacing w:before="1" w:line="326" w:lineRule="auto"/>
        <w:ind w:right="235" w:firstLine="630" w:firstLineChars="300"/>
        <w:jc w:val="both"/>
        <w:textAlignment w:val="auto"/>
      </w:pPr>
      <w:r>
        <w:rPr>
          <w:b/>
          <w:color w:val="231F20"/>
        </w:rPr>
        <w:t xml:space="preserve">Article 1. </w:t>
      </w:r>
      <w:r>
        <w:rPr>
          <w:color w:val="231F20"/>
        </w:rPr>
        <w:t xml:space="preserve">These Measures are formulated for the purposes of regulating the expropriation of buildings on state-owned land and corresponding compensation, maintaining public interests and protecting the legitimate rights and interests of owners of the buildings to be expropriated, </w:t>
      </w:r>
      <w:r>
        <w:rPr>
          <w:color w:val="231F20"/>
          <w:spacing w:val="3"/>
        </w:rPr>
        <w:t xml:space="preserve">in </w:t>
      </w:r>
      <w:r>
        <w:rPr>
          <w:color w:val="231F20"/>
          <w:spacing w:val="5"/>
        </w:rPr>
        <w:t xml:space="preserve">accordance </w:t>
      </w:r>
      <w:r>
        <w:rPr>
          <w:color w:val="231F20"/>
          <w:spacing w:val="4"/>
        </w:rPr>
        <w:t xml:space="preserve">with </w:t>
      </w:r>
      <w:r>
        <w:rPr>
          <w:color w:val="231F20"/>
          <w:spacing w:val="5"/>
        </w:rPr>
        <w:t xml:space="preserve">Regulation </w:t>
      </w:r>
      <w:r>
        <w:rPr>
          <w:color w:val="231F20"/>
          <w:spacing w:val="3"/>
        </w:rPr>
        <w:t xml:space="preserve">on </w:t>
      </w:r>
      <w:r>
        <w:rPr>
          <w:color w:val="231F20"/>
          <w:spacing w:val="4"/>
        </w:rPr>
        <w:t xml:space="preserve">the </w:t>
      </w:r>
      <w:r>
        <w:rPr>
          <w:color w:val="231F20"/>
          <w:spacing w:val="5"/>
        </w:rPr>
        <w:t xml:space="preserve">Expropriation </w:t>
      </w:r>
      <w:r>
        <w:rPr>
          <w:color w:val="231F20"/>
          <w:spacing w:val="3"/>
        </w:rPr>
        <w:t xml:space="preserve">of </w:t>
      </w:r>
      <w:r>
        <w:rPr>
          <w:color w:val="231F20"/>
          <w:spacing w:val="5"/>
        </w:rPr>
        <w:t xml:space="preserve">Buildings </w:t>
      </w:r>
      <w:r>
        <w:rPr>
          <w:color w:val="231F20"/>
          <w:spacing w:val="3"/>
        </w:rPr>
        <w:t xml:space="preserve">on </w:t>
      </w:r>
      <w:r>
        <w:rPr>
          <w:color w:val="231F20"/>
          <w:spacing w:val="5"/>
        </w:rPr>
        <w:t xml:space="preserve">State-owned </w:t>
      </w:r>
      <w:r>
        <w:rPr>
          <w:color w:val="231F20"/>
          <w:spacing w:val="4"/>
        </w:rPr>
        <w:t xml:space="preserve">Land </w:t>
      </w:r>
      <w:r>
        <w:rPr>
          <w:color w:val="231F20"/>
          <w:spacing w:val="6"/>
        </w:rPr>
        <w:t>and</w:t>
      </w:r>
      <w:r>
        <w:rPr>
          <w:color w:val="231F20"/>
          <w:spacing w:val="64"/>
        </w:rPr>
        <w:t xml:space="preserve"> </w:t>
      </w:r>
      <w:r>
        <w:rPr>
          <w:color w:val="231F20"/>
          <w:spacing w:val="4"/>
        </w:rPr>
        <w:t xml:space="preserve">Compensation, </w:t>
      </w:r>
      <w:r>
        <w:rPr>
          <w:color w:val="231F20"/>
          <w:spacing w:val="3"/>
        </w:rPr>
        <w:t xml:space="preserve">the </w:t>
      </w:r>
      <w:r>
        <w:rPr>
          <w:color w:val="231F20"/>
          <w:spacing w:val="4"/>
        </w:rPr>
        <w:t xml:space="preserve">relevant </w:t>
      </w:r>
      <w:r>
        <w:rPr>
          <w:color w:val="231F20"/>
          <w:spacing w:val="3"/>
        </w:rPr>
        <w:t xml:space="preserve">laws and </w:t>
      </w:r>
      <w:r>
        <w:rPr>
          <w:color w:val="231F20"/>
          <w:spacing w:val="4"/>
        </w:rPr>
        <w:t xml:space="preserve">regulations, </w:t>
      </w:r>
      <w:r>
        <w:rPr>
          <w:color w:val="231F20"/>
          <w:spacing w:val="3"/>
        </w:rPr>
        <w:t xml:space="preserve">and </w:t>
      </w:r>
      <w:r>
        <w:rPr>
          <w:color w:val="231F20"/>
          <w:spacing w:val="2"/>
        </w:rPr>
        <w:t xml:space="preserve">in </w:t>
      </w:r>
      <w:r>
        <w:rPr>
          <w:color w:val="231F20"/>
          <w:spacing w:val="3"/>
        </w:rPr>
        <w:t xml:space="preserve">the </w:t>
      </w:r>
      <w:r>
        <w:rPr>
          <w:color w:val="231F20"/>
          <w:spacing w:val="4"/>
        </w:rPr>
        <w:t xml:space="preserve">light </w:t>
      </w:r>
      <w:r>
        <w:rPr>
          <w:color w:val="231F20"/>
          <w:spacing w:val="2"/>
        </w:rPr>
        <w:t xml:space="preserve">of </w:t>
      </w:r>
      <w:r>
        <w:rPr>
          <w:color w:val="231F20"/>
          <w:spacing w:val="4"/>
        </w:rPr>
        <w:t xml:space="preserve">actual situations </w:t>
      </w:r>
      <w:r>
        <w:rPr>
          <w:color w:val="231F20"/>
          <w:spacing w:val="2"/>
        </w:rPr>
        <w:t xml:space="preserve">in </w:t>
      </w:r>
      <w:r>
        <w:rPr>
          <w:color w:val="231F20"/>
          <w:spacing w:val="5"/>
        </w:rPr>
        <w:t xml:space="preserve">this </w:t>
      </w:r>
      <w:r>
        <w:rPr>
          <w:color w:val="231F20"/>
        </w:rPr>
        <w:t>Province.</w:t>
      </w:r>
    </w:p>
    <w:p w14:paraId="4D161D0E">
      <w:pPr>
        <w:pStyle w:val="3"/>
        <w:keepNext w:val="0"/>
        <w:keepLines w:val="0"/>
        <w:pageBreakBefore w:val="0"/>
        <w:widowControl w:val="0"/>
        <w:kinsoku/>
        <w:wordWrap/>
        <w:overflowPunct/>
        <w:topLinePunct w:val="0"/>
        <w:autoSpaceDE w:val="0"/>
        <w:autoSpaceDN w:val="0"/>
        <w:bidi w:val="0"/>
        <w:adjustRightInd/>
        <w:snapToGrid/>
        <w:spacing w:line="239" w:lineRule="exact"/>
        <w:ind w:firstLine="630" w:firstLineChars="300"/>
        <w:jc w:val="both"/>
        <w:textAlignment w:val="auto"/>
      </w:pPr>
      <w:r>
        <w:rPr>
          <w:b/>
          <w:color w:val="231F20"/>
        </w:rPr>
        <w:t xml:space="preserve">Article 2. </w:t>
      </w:r>
      <w:r>
        <w:rPr>
          <w:color w:val="231F20"/>
        </w:rPr>
        <w:t>These Measures shall apply to the expropriation of buildings on state-owned land</w:t>
      </w:r>
      <w:r>
        <w:rPr>
          <w:rFonts w:hint="eastAsia" w:eastAsia="宋体"/>
          <w:color w:val="231F20"/>
          <w:lang w:val="en-US" w:eastAsia="zh-CN"/>
        </w:rPr>
        <w:t xml:space="preserve"> </w:t>
      </w:r>
      <w:r>
        <w:rPr>
          <w:color w:val="231F20"/>
        </w:rPr>
        <w:t>and corresponding compensation for public interest within the administrative area of the Province.</w:t>
      </w:r>
    </w:p>
    <w:p w14:paraId="2AB195A1">
      <w:pPr>
        <w:pStyle w:val="3"/>
        <w:keepNext w:val="0"/>
        <w:keepLines w:val="0"/>
        <w:pageBreakBefore w:val="0"/>
        <w:widowControl w:val="0"/>
        <w:kinsoku/>
        <w:wordWrap/>
        <w:overflowPunct/>
        <w:topLinePunct w:val="0"/>
        <w:autoSpaceDE w:val="0"/>
        <w:autoSpaceDN w:val="0"/>
        <w:bidi w:val="0"/>
        <w:adjustRightInd/>
        <w:snapToGrid/>
        <w:spacing w:before="87" w:line="326" w:lineRule="auto"/>
        <w:ind w:right="241" w:firstLine="630" w:firstLineChars="300"/>
        <w:jc w:val="both"/>
        <w:textAlignment w:val="auto"/>
      </w:pPr>
      <w:r>
        <w:rPr>
          <w:b/>
          <w:color w:val="231F20"/>
        </w:rPr>
        <w:t xml:space="preserve">Article 3. </w:t>
      </w:r>
      <w:r>
        <w:rPr>
          <w:color w:val="231F20"/>
        </w:rPr>
        <w:t>Where a building of any entity or individual on state-owned land is expropriated, the owner of the expropriated building (hereinafter referred to as the “owner”) shall be fairly compensated.</w:t>
      </w:r>
    </w:p>
    <w:p w14:paraId="7508DB1E">
      <w:pPr>
        <w:pStyle w:val="3"/>
        <w:keepNext w:val="0"/>
        <w:keepLines w:val="0"/>
        <w:pageBreakBefore w:val="0"/>
        <w:widowControl w:val="0"/>
        <w:kinsoku/>
        <w:wordWrap/>
        <w:overflowPunct/>
        <w:topLinePunct w:val="0"/>
        <w:autoSpaceDE w:val="0"/>
        <w:autoSpaceDN w:val="0"/>
        <w:bidi w:val="0"/>
        <w:adjustRightInd/>
        <w:snapToGrid/>
        <w:spacing w:line="240" w:lineRule="exact"/>
        <w:ind w:left="0" w:firstLine="630" w:firstLineChars="300"/>
        <w:jc w:val="both"/>
        <w:textAlignment w:val="auto"/>
      </w:pPr>
      <w:r>
        <w:rPr>
          <w:color w:val="231F20"/>
        </w:rPr>
        <w:t>The principle of “democratic decision-making, due process and open results” shall be</w:t>
      </w:r>
      <w:r>
        <w:rPr>
          <w:rFonts w:hint="eastAsia" w:eastAsia="宋体"/>
          <w:color w:val="231F20"/>
          <w:lang w:val="en-US" w:eastAsia="zh-CN"/>
        </w:rPr>
        <w:t xml:space="preserve"> </w:t>
      </w:r>
      <w:r>
        <w:rPr>
          <w:color w:val="231F20"/>
        </w:rPr>
        <w:t>followed</w:t>
      </w:r>
      <w:r>
        <w:rPr>
          <w:rFonts w:hint="eastAsia" w:eastAsia="宋体"/>
          <w:color w:val="231F20"/>
          <w:lang w:val="en-US" w:eastAsia="zh-CN"/>
        </w:rPr>
        <w:t xml:space="preserve"> </w:t>
      </w:r>
      <w:r>
        <w:rPr>
          <w:color w:val="231F20"/>
        </w:rPr>
        <w:t>in the building expropriation and compensation.</w:t>
      </w:r>
    </w:p>
    <w:p w14:paraId="4007A849">
      <w:pPr>
        <w:pStyle w:val="3"/>
        <w:keepNext w:val="0"/>
        <w:keepLines w:val="0"/>
        <w:pageBreakBefore w:val="0"/>
        <w:widowControl w:val="0"/>
        <w:kinsoku/>
        <w:wordWrap/>
        <w:overflowPunct/>
        <w:topLinePunct w:val="0"/>
        <w:autoSpaceDE w:val="0"/>
        <w:autoSpaceDN w:val="0"/>
        <w:bidi w:val="0"/>
        <w:adjustRightInd/>
        <w:snapToGrid/>
        <w:spacing w:before="0"/>
        <w:ind w:left="0" w:firstLine="630" w:firstLineChars="300"/>
        <w:jc w:val="both"/>
        <w:textAlignment w:val="auto"/>
      </w:pPr>
      <w:r>
        <w:rPr>
          <w:b/>
          <w:color w:val="231F20"/>
        </w:rPr>
        <w:t xml:space="preserve">Article 4. </w:t>
      </w:r>
      <w:r>
        <w:rPr>
          <w:color w:val="231F20"/>
        </w:rPr>
        <w:t>The people's government at the city or county level shall be responsible for the</w:t>
      </w:r>
      <w:r>
        <w:rPr>
          <w:rFonts w:hint="eastAsia" w:eastAsia="宋体"/>
          <w:color w:val="231F20"/>
          <w:lang w:val="en-US" w:eastAsia="zh-CN"/>
        </w:rPr>
        <w:t xml:space="preserve"> </w:t>
      </w:r>
      <w:r>
        <w:rPr>
          <w:color w:val="231F20"/>
        </w:rPr>
        <w:t>building expropriation and compensation within its administrative region.</w:t>
      </w:r>
    </w:p>
    <w:p w14:paraId="12AA9540">
      <w:pPr>
        <w:pStyle w:val="3"/>
        <w:keepNext w:val="0"/>
        <w:keepLines w:val="0"/>
        <w:pageBreakBefore w:val="0"/>
        <w:widowControl w:val="0"/>
        <w:kinsoku/>
        <w:wordWrap/>
        <w:overflowPunct/>
        <w:topLinePunct w:val="0"/>
        <w:autoSpaceDE w:val="0"/>
        <w:autoSpaceDN w:val="0"/>
        <w:bidi w:val="0"/>
        <w:adjustRightInd/>
        <w:snapToGrid/>
        <w:spacing w:before="0" w:line="327" w:lineRule="auto"/>
        <w:ind w:right="244" w:firstLine="420" w:firstLineChars="200"/>
        <w:jc w:val="both"/>
        <w:textAlignment w:val="auto"/>
      </w:pPr>
      <w:r>
        <w:rPr>
          <w:color w:val="231F20"/>
        </w:rPr>
        <w:t xml:space="preserve">The building expropriation department as determined by the people's government at the </w:t>
      </w:r>
      <w:r>
        <w:rPr>
          <w:color w:val="231F20"/>
          <w:spacing w:val="-3"/>
        </w:rPr>
        <w:t xml:space="preserve">city </w:t>
      </w:r>
      <w:r>
        <w:rPr>
          <w:color w:val="231F20"/>
        </w:rPr>
        <w:t>or country level (hereinafter referred to as the “building expropriation department”) shall organize and implement the building expropriation and compensation within its administrative</w:t>
      </w:r>
      <w:r>
        <w:rPr>
          <w:color w:val="231F20"/>
          <w:spacing w:val="-4"/>
        </w:rPr>
        <w:t xml:space="preserve"> </w:t>
      </w:r>
      <w:r>
        <w:rPr>
          <w:color w:val="231F20"/>
        </w:rPr>
        <w:t>region.</w:t>
      </w:r>
    </w:p>
    <w:p w14:paraId="2B97FD36">
      <w:pPr>
        <w:pStyle w:val="3"/>
        <w:spacing w:line="326" w:lineRule="auto"/>
        <w:ind w:right="241" w:firstLine="630" w:firstLineChars="300"/>
        <w:jc w:val="both"/>
      </w:pPr>
      <w:r>
        <w:rPr>
          <w:color w:val="231F20"/>
        </w:rPr>
        <w:t xml:space="preserve">The </w:t>
      </w:r>
      <w:r>
        <w:rPr>
          <w:color w:val="231F20"/>
          <w:spacing w:val="2"/>
        </w:rPr>
        <w:t xml:space="preserve">relevant departments </w:t>
      </w:r>
      <w:r>
        <w:rPr>
          <w:color w:val="231F20"/>
        </w:rPr>
        <w:t xml:space="preserve">of the </w:t>
      </w:r>
      <w:r>
        <w:rPr>
          <w:color w:val="231F20"/>
          <w:spacing w:val="2"/>
        </w:rPr>
        <w:t xml:space="preserve">people's government </w:t>
      </w:r>
      <w:r>
        <w:rPr>
          <w:color w:val="231F20"/>
        </w:rPr>
        <w:t xml:space="preserve">at the </w:t>
      </w:r>
      <w:r>
        <w:rPr>
          <w:color w:val="231F20"/>
          <w:spacing w:val="2"/>
        </w:rPr>
        <w:t xml:space="preserve">city </w:t>
      </w:r>
      <w:r>
        <w:rPr>
          <w:color w:val="231F20"/>
        </w:rPr>
        <w:t xml:space="preserve">or </w:t>
      </w:r>
      <w:r>
        <w:rPr>
          <w:color w:val="231F20"/>
          <w:spacing w:val="2"/>
        </w:rPr>
        <w:t xml:space="preserve">county level shall, </w:t>
      </w:r>
      <w:r>
        <w:rPr>
          <w:color w:val="231F20"/>
        </w:rPr>
        <w:t xml:space="preserve">in </w:t>
      </w:r>
      <w:r>
        <w:rPr>
          <w:color w:val="231F20"/>
          <w:spacing w:val="3"/>
        </w:rPr>
        <w:t xml:space="preserve">accordance with </w:t>
      </w:r>
      <w:r>
        <w:rPr>
          <w:color w:val="231F20"/>
          <w:spacing w:val="2"/>
        </w:rPr>
        <w:t xml:space="preserve">the </w:t>
      </w:r>
      <w:r>
        <w:rPr>
          <w:color w:val="231F20"/>
          <w:spacing w:val="3"/>
        </w:rPr>
        <w:t xml:space="preserve">provisions </w:t>
      </w:r>
      <w:r>
        <w:rPr>
          <w:color w:val="231F20"/>
        </w:rPr>
        <w:t xml:space="preserve">of </w:t>
      </w:r>
      <w:r>
        <w:rPr>
          <w:color w:val="231F20"/>
          <w:spacing w:val="3"/>
        </w:rPr>
        <w:t xml:space="preserve">these Measures </w:t>
      </w:r>
      <w:r>
        <w:rPr>
          <w:color w:val="231F20"/>
          <w:spacing w:val="2"/>
        </w:rPr>
        <w:t xml:space="preserve">and the </w:t>
      </w:r>
      <w:r>
        <w:rPr>
          <w:color w:val="231F20"/>
          <w:spacing w:val="3"/>
        </w:rPr>
        <w:t xml:space="preserve">division </w:t>
      </w:r>
      <w:r>
        <w:rPr>
          <w:color w:val="231F20"/>
        </w:rPr>
        <w:t xml:space="preserve">of </w:t>
      </w:r>
      <w:r>
        <w:rPr>
          <w:color w:val="231F20"/>
          <w:spacing w:val="3"/>
        </w:rPr>
        <w:t xml:space="preserve">duties </w:t>
      </w:r>
      <w:r>
        <w:rPr>
          <w:color w:val="231F20"/>
        </w:rPr>
        <w:t xml:space="preserve">as </w:t>
      </w:r>
      <w:r>
        <w:rPr>
          <w:color w:val="231F20"/>
          <w:spacing w:val="3"/>
        </w:rPr>
        <w:t xml:space="preserve">prescribed </w:t>
      </w:r>
      <w:r>
        <w:rPr>
          <w:color w:val="231F20"/>
          <w:spacing w:val="4"/>
        </w:rPr>
        <w:t>by</w:t>
      </w:r>
      <w:bookmarkStart w:id="0" w:name="_GoBack"/>
      <w:bookmarkEnd w:id="0"/>
      <w:r>
        <w:rPr>
          <w:color w:val="231F20"/>
          <w:spacing w:val="4"/>
        </w:rPr>
        <w:t xml:space="preserve"> </w:t>
      </w:r>
      <w:r>
        <w:rPr>
          <w:color w:val="231F20"/>
        </w:rPr>
        <w:t>the people's government at the corresponding level, cooperate with each other to ensure smooth building expropriation and</w:t>
      </w:r>
      <w:r>
        <w:rPr>
          <w:color w:val="231F20"/>
          <w:spacing w:val="-1"/>
        </w:rPr>
        <w:t xml:space="preserve"> </w:t>
      </w:r>
      <w:r>
        <w:rPr>
          <w:color w:val="231F20"/>
        </w:rPr>
        <w:t>compensation.</w:t>
      </w:r>
    </w:p>
    <w:p w14:paraId="14680197">
      <w:pPr>
        <w:pStyle w:val="3"/>
        <w:spacing w:before="91" w:line="331" w:lineRule="auto"/>
        <w:ind w:right="229" w:firstLine="630" w:firstLineChars="300"/>
        <w:jc w:val="both"/>
      </w:pPr>
      <w:r>
        <w:rPr>
          <w:color w:val="231F20"/>
        </w:rPr>
        <w:t>The people's governments of the townships (towns) and sub-district offices where the expropriated buildings are located shall cooperate with the work related to the buildings expropriation and compensation.</w:t>
      </w:r>
    </w:p>
    <w:p w14:paraId="19ADB91B">
      <w:pPr>
        <w:pStyle w:val="3"/>
        <w:spacing w:before="2" w:line="331" w:lineRule="auto"/>
        <w:ind w:right="233" w:firstLine="642" w:firstLineChars="300"/>
        <w:jc w:val="both"/>
      </w:pPr>
      <w:r>
        <w:rPr>
          <w:b/>
          <w:color w:val="231F20"/>
          <w:spacing w:val="2"/>
        </w:rPr>
        <w:t xml:space="preserve">Article </w:t>
      </w:r>
      <w:r>
        <w:rPr>
          <w:b/>
          <w:color w:val="231F20"/>
        </w:rPr>
        <w:t xml:space="preserve">5. </w:t>
      </w:r>
      <w:r>
        <w:rPr>
          <w:color w:val="231F20"/>
        </w:rPr>
        <w:t xml:space="preserve">The </w:t>
      </w:r>
      <w:r>
        <w:rPr>
          <w:color w:val="231F20"/>
          <w:spacing w:val="2"/>
        </w:rPr>
        <w:t xml:space="preserve">building expropriation department </w:t>
      </w:r>
      <w:r>
        <w:rPr>
          <w:color w:val="231F20"/>
        </w:rPr>
        <w:t xml:space="preserve">may </w:t>
      </w:r>
      <w:r>
        <w:rPr>
          <w:color w:val="231F20"/>
          <w:spacing w:val="2"/>
        </w:rPr>
        <w:t xml:space="preserve">designate </w:t>
      </w:r>
      <w:r>
        <w:rPr>
          <w:color w:val="231F20"/>
        </w:rPr>
        <w:t xml:space="preserve">a </w:t>
      </w:r>
      <w:r>
        <w:rPr>
          <w:color w:val="231F20"/>
          <w:spacing w:val="2"/>
        </w:rPr>
        <w:t xml:space="preserve">building </w:t>
      </w:r>
      <w:r>
        <w:rPr>
          <w:color w:val="231F20"/>
          <w:spacing w:val="3"/>
        </w:rPr>
        <w:t xml:space="preserve">expropriation </w:t>
      </w:r>
      <w:r>
        <w:rPr>
          <w:color w:val="231F20"/>
        </w:rPr>
        <w:t xml:space="preserve">implementing entity to undertake the specific work on building expropriation and compensation. The designated matters generally include: assistance in investigation and registration, assistance in </w:t>
      </w:r>
      <w:r>
        <w:rPr>
          <w:color w:val="231F20"/>
          <w:spacing w:val="2"/>
        </w:rPr>
        <w:t xml:space="preserve">the </w:t>
      </w:r>
      <w:r>
        <w:rPr>
          <w:color w:val="231F20"/>
          <w:spacing w:val="3"/>
        </w:rPr>
        <w:t xml:space="preserve">preparation </w:t>
      </w:r>
      <w:r>
        <w:rPr>
          <w:color w:val="231F20"/>
        </w:rPr>
        <w:t xml:space="preserve">of </w:t>
      </w:r>
      <w:r>
        <w:rPr>
          <w:color w:val="231F20"/>
          <w:spacing w:val="2"/>
        </w:rPr>
        <w:t xml:space="preserve">the </w:t>
      </w:r>
      <w:r>
        <w:rPr>
          <w:color w:val="231F20"/>
          <w:spacing w:val="3"/>
        </w:rPr>
        <w:t xml:space="preserve">expropriation </w:t>
      </w:r>
      <w:r>
        <w:rPr>
          <w:color w:val="231F20"/>
          <w:spacing w:val="2"/>
        </w:rPr>
        <w:t xml:space="preserve">and </w:t>
      </w:r>
      <w:r>
        <w:rPr>
          <w:color w:val="231F20"/>
          <w:spacing w:val="3"/>
        </w:rPr>
        <w:t xml:space="preserve">compensation program, assistance </w:t>
      </w:r>
      <w:r>
        <w:rPr>
          <w:color w:val="231F20"/>
        </w:rPr>
        <w:t xml:space="preserve">in </w:t>
      </w:r>
      <w:r>
        <w:rPr>
          <w:color w:val="231F20"/>
          <w:spacing w:val="2"/>
        </w:rPr>
        <w:t xml:space="preserve">the </w:t>
      </w:r>
      <w:r>
        <w:rPr>
          <w:color w:val="231F20"/>
          <w:spacing w:val="4"/>
        </w:rPr>
        <w:t xml:space="preserve">publicity </w:t>
      </w:r>
      <w:r>
        <w:rPr>
          <w:color w:val="231F20"/>
        </w:rPr>
        <w:t xml:space="preserve">and interpretation of the building expropriation and compensation policy, consultation with </w:t>
      </w:r>
      <w:r>
        <w:rPr>
          <w:color w:val="231F20"/>
          <w:spacing w:val="2"/>
        </w:rPr>
        <w:t>the</w:t>
      </w:r>
      <w:r>
        <w:rPr>
          <w:color w:val="231F20"/>
          <w:spacing w:val="56"/>
        </w:rPr>
        <w:t xml:space="preserve"> </w:t>
      </w:r>
      <w:r>
        <w:rPr>
          <w:color w:val="231F20"/>
        </w:rPr>
        <w:t xml:space="preserve">expropriated person on the specific issues of expropriation and compensation, assistance in </w:t>
      </w:r>
      <w:r>
        <w:rPr>
          <w:color w:val="231F20"/>
          <w:spacing w:val="2"/>
        </w:rPr>
        <w:t xml:space="preserve">the </w:t>
      </w:r>
      <w:r>
        <w:rPr>
          <w:color w:val="231F20"/>
        </w:rPr>
        <w:t>organization of soliciting opinions, hearings, argumentation, publicity and the organization of the demolition of the expropriated buildings. A building expropriation implementing entity shall not operate for</w:t>
      </w:r>
      <w:r>
        <w:rPr>
          <w:color w:val="231F20"/>
          <w:spacing w:val="-1"/>
        </w:rPr>
        <w:t xml:space="preserve"> </w:t>
      </w:r>
      <w:r>
        <w:rPr>
          <w:color w:val="231F20"/>
        </w:rPr>
        <w:t>profits.</w:t>
      </w:r>
    </w:p>
    <w:p w14:paraId="0856BD48">
      <w:pPr>
        <w:pStyle w:val="3"/>
        <w:spacing w:before="7" w:line="331" w:lineRule="auto"/>
        <w:ind w:right="241" w:firstLine="666" w:firstLineChars="300"/>
        <w:jc w:val="both"/>
      </w:pPr>
      <w:r>
        <w:rPr>
          <w:color w:val="231F20"/>
          <w:spacing w:val="6"/>
        </w:rPr>
        <w:t xml:space="preserve">The </w:t>
      </w:r>
      <w:r>
        <w:rPr>
          <w:color w:val="231F20"/>
          <w:spacing w:val="7"/>
        </w:rPr>
        <w:t xml:space="preserve">building </w:t>
      </w:r>
      <w:r>
        <w:rPr>
          <w:color w:val="231F20"/>
          <w:spacing w:val="8"/>
        </w:rPr>
        <w:t xml:space="preserve">expropriation department </w:t>
      </w:r>
      <w:r>
        <w:rPr>
          <w:color w:val="231F20"/>
          <w:spacing w:val="7"/>
        </w:rPr>
        <w:t xml:space="preserve">shall oversee </w:t>
      </w:r>
      <w:r>
        <w:rPr>
          <w:color w:val="231F20"/>
          <w:spacing w:val="6"/>
        </w:rPr>
        <w:t xml:space="preserve">the </w:t>
      </w:r>
      <w:r>
        <w:rPr>
          <w:color w:val="231F20"/>
          <w:spacing w:val="7"/>
        </w:rPr>
        <w:t xml:space="preserve">building </w:t>
      </w:r>
      <w:r>
        <w:rPr>
          <w:color w:val="231F20"/>
          <w:spacing w:val="8"/>
        </w:rPr>
        <w:t xml:space="preserve">expropriation </w:t>
      </w:r>
      <w:r>
        <w:rPr>
          <w:color w:val="231F20"/>
          <w:spacing w:val="6"/>
        </w:rPr>
        <w:t>and</w:t>
      </w:r>
      <w:r>
        <w:rPr>
          <w:color w:val="231F20"/>
          <w:spacing w:val="64"/>
        </w:rPr>
        <w:t xml:space="preserve"> </w:t>
      </w:r>
      <w:r>
        <w:rPr>
          <w:color w:val="231F20"/>
          <w:spacing w:val="2"/>
        </w:rPr>
        <w:t xml:space="preserve">compensation activities </w:t>
      </w:r>
      <w:r>
        <w:rPr>
          <w:color w:val="231F20"/>
        </w:rPr>
        <w:t xml:space="preserve">of a </w:t>
      </w:r>
      <w:r>
        <w:rPr>
          <w:color w:val="231F20"/>
          <w:spacing w:val="2"/>
        </w:rPr>
        <w:t xml:space="preserve">building expropriation implementing entity within </w:t>
      </w:r>
      <w:r>
        <w:rPr>
          <w:color w:val="231F20"/>
        </w:rPr>
        <w:t xml:space="preserve">the </w:t>
      </w:r>
      <w:r>
        <w:rPr>
          <w:color w:val="231F20"/>
          <w:spacing w:val="3"/>
        </w:rPr>
        <w:t xml:space="preserve">authorized </w:t>
      </w:r>
      <w:r>
        <w:rPr>
          <w:color w:val="231F20"/>
        </w:rPr>
        <w:t>scope, and assume the legal liabilities for the consequences of such activities.</w:t>
      </w:r>
    </w:p>
    <w:p w14:paraId="6AA828CE">
      <w:pPr>
        <w:pStyle w:val="3"/>
        <w:keepNext w:val="0"/>
        <w:keepLines w:val="0"/>
        <w:pageBreakBefore w:val="0"/>
        <w:widowControl w:val="0"/>
        <w:kinsoku/>
        <w:wordWrap/>
        <w:overflowPunct/>
        <w:topLinePunct w:val="0"/>
        <w:autoSpaceDE w:val="0"/>
        <w:autoSpaceDN w:val="0"/>
        <w:bidi w:val="0"/>
        <w:adjustRightInd/>
        <w:snapToGrid/>
        <w:spacing w:before="0"/>
        <w:ind w:left="0" w:firstLine="840" w:firstLineChars="400"/>
        <w:jc w:val="both"/>
        <w:textAlignment w:val="auto"/>
      </w:pPr>
      <w:r>
        <w:rPr>
          <w:b/>
          <w:color w:val="231F20"/>
        </w:rPr>
        <w:t xml:space="preserve">Article 6. </w:t>
      </w:r>
      <w:r>
        <w:rPr>
          <w:color w:val="231F20"/>
        </w:rPr>
        <w:t>The people's governments at the city or county level shall include funds for the</w:t>
      </w:r>
      <w:r>
        <w:rPr>
          <w:rFonts w:hint="eastAsia" w:eastAsia="宋体"/>
          <w:color w:val="231F20"/>
          <w:lang w:val="en-US" w:eastAsia="zh-CN"/>
        </w:rPr>
        <w:t xml:space="preserve"> </w:t>
      </w:r>
      <w:r>
        <w:rPr>
          <w:color w:val="231F20"/>
        </w:rPr>
        <w:t>building expropriation and compensation in the budget at the corresponding level.</w:t>
      </w:r>
    </w:p>
    <w:p w14:paraId="09A92CF3">
      <w:pPr>
        <w:pStyle w:val="3"/>
        <w:keepNext w:val="0"/>
        <w:keepLines w:val="0"/>
        <w:pageBreakBefore w:val="0"/>
        <w:widowControl w:val="0"/>
        <w:kinsoku/>
        <w:wordWrap/>
        <w:overflowPunct/>
        <w:topLinePunct w:val="0"/>
        <w:autoSpaceDE w:val="0"/>
        <w:autoSpaceDN w:val="0"/>
        <w:bidi w:val="0"/>
        <w:adjustRightInd/>
        <w:snapToGrid/>
        <w:spacing w:before="0"/>
        <w:ind w:left="0" w:firstLine="840" w:firstLineChars="400"/>
        <w:jc w:val="both"/>
        <w:textAlignment w:val="auto"/>
      </w:pPr>
      <w:r>
        <w:rPr>
          <w:b/>
          <w:color w:val="231F20"/>
        </w:rPr>
        <w:t xml:space="preserve">Article 7. </w:t>
      </w:r>
      <w:r>
        <w:rPr>
          <w:color w:val="231F20"/>
        </w:rPr>
        <w:t>The people's government at a higher level shall strengthen its oversight of the</w:t>
      </w:r>
      <w:r>
        <w:rPr>
          <w:rFonts w:hint="eastAsia" w:eastAsia="宋体"/>
          <w:color w:val="231F20"/>
          <w:lang w:val="en-US" w:eastAsia="zh-CN"/>
        </w:rPr>
        <w:t xml:space="preserve"> </w:t>
      </w:r>
      <w:r>
        <w:rPr>
          <w:color w:val="231F20"/>
        </w:rPr>
        <w:t>building expropriation and compensation work of the people's government at a lower level.</w:t>
      </w:r>
    </w:p>
    <w:p w14:paraId="5BD0F222">
      <w:pPr>
        <w:pStyle w:val="3"/>
        <w:spacing w:before="93" w:line="331" w:lineRule="auto"/>
        <w:ind w:right="235" w:firstLine="654" w:firstLineChars="300"/>
        <w:jc w:val="both"/>
      </w:pPr>
      <w:r>
        <w:rPr>
          <w:color w:val="231F20"/>
          <w:spacing w:val="4"/>
        </w:rPr>
        <w:t xml:space="preserve">The </w:t>
      </w:r>
      <w:r>
        <w:rPr>
          <w:color w:val="231F20"/>
          <w:spacing w:val="5"/>
        </w:rPr>
        <w:t xml:space="preserve">competent department </w:t>
      </w:r>
      <w:r>
        <w:rPr>
          <w:color w:val="231F20"/>
          <w:spacing w:val="3"/>
        </w:rPr>
        <w:t xml:space="preserve">of </w:t>
      </w:r>
      <w:r>
        <w:rPr>
          <w:color w:val="231F20"/>
          <w:spacing w:val="5"/>
        </w:rPr>
        <w:t xml:space="preserve">housing </w:t>
      </w:r>
      <w:r>
        <w:rPr>
          <w:color w:val="231F20"/>
          <w:spacing w:val="4"/>
        </w:rPr>
        <w:t xml:space="preserve">and </w:t>
      </w:r>
      <w:r>
        <w:rPr>
          <w:color w:val="231F20"/>
          <w:spacing w:val="5"/>
        </w:rPr>
        <w:t xml:space="preserve">urban-rural development </w:t>
      </w:r>
      <w:r>
        <w:rPr>
          <w:color w:val="231F20"/>
          <w:spacing w:val="4"/>
        </w:rPr>
        <w:t xml:space="preserve">under the </w:t>
      </w:r>
      <w:r>
        <w:rPr>
          <w:color w:val="231F20"/>
          <w:spacing w:val="5"/>
        </w:rPr>
        <w:t xml:space="preserve">people's </w:t>
      </w:r>
      <w:r>
        <w:rPr>
          <w:color w:val="231F20"/>
        </w:rPr>
        <w:t>governments of Province shall, jointly with the public finance, land and resources, development and reform and other relevant departments at the corresponding level, strengthen the guidance on the implementation of building expropriation and compensation.</w:t>
      </w:r>
    </w:p>
    <w:p w14:paraId="6F18B1B5">
      <w:pPr>
        <w:pStyle w:val="3"/>
        <w:spacing w:before="3" w:line="331" w:lineRule="auto"/>
        <w:ind w:right="237" w:firstLine="642" w:firstLineChars="300"/>
        <w:jc w:val="both"/>
      </w:pPr>
      <w:r>
        <w:rPr>
          <w:color w:val="231F20"/>
          <w:spacing w:val="2"/>
        </w:rPr>
        <w:t xml:space="preserve">The </w:t>
      </w:r>
      <w:r>
        <w:rPr>
          <w:color w:val="231F20"/>
          <w:spacing w:val="3"/>
        </w:rPr>
        <w:t xml:space="preserve">building expropriation department </w:t>
      </w:r>
      <w:r>
        <w:rPr>
          <w:color w:val="231F20"/>
        </w:rPr>
        <w:t xml:space="preserve">at </w:t>
      </w:r>
      <w:r>
        <w:rPr>
          <w:color w:val="231F20"/>
          <w:spacing w:val="3"/>
        </w:rPr>
        <w:t xml:space="preserve">city level shall strengthen </w:t>
      </w:r>
      <w:r>
        <w:rPr>
          <w:color w:val="231F20"/>
          <w:spacing w:val="2"/>
        </w:rPr>
        <w:t xml:space="preserve">the </w:t>
      </w:r>
      <w:r>
        <w:rPr>
          <w:color w:val="231F20"/>
          <w:spacing w:val="3"/>
        </w:rPr>
        <w:t xml:space="preserve">supervision </w:t>
      </w:r>
      <w:r>
        <w:rPr>
          <w:color w:val="231F20"/>
          <w:spacing w:val="4"/>
        </w:rPr>
        <w:t xml:space="preserve">and </w:t>
      </w:r>
      <w:r>
        <w:rPr>
          <w:color w:val="231F20"/>
          <w:spacing w:val="3"/>
        </w:rPr>
        <w:t xml:space="preserve">guidance </w:t>
      </w:r>
      <w:r>
        <w:rPr>
          <w:color w:val="231F20"/>
        </w:rPr>
        <w:t xml:space="preserve">on </w:t>
      </w:r>
      <w:r>
        <w:rPr>
          <w:color w:val="231F20"/>
          <w:spacing w:val="2"/>
        </w:rPr>
        <w:t xml:space="preserve">the </w:t>
      </w:r>
      <w:r>
        <w:rPr>
          <w:color w:val="231F20"/>
          <w:spacing w:val="3"/>
        </w:rPr>
        <w:t xml:space="preserve">building expropriation </w:t>
      </w:r>
      <w:r>
        <w:rPr>
          <w:color w:val="231F20"/>
          <w:spacing w:val="2"/>
        </w:rPr>
        <w:t xml:space="preserve">and </w:t>
      </w:r>
      <w:r>
        <w:rPr>
          <w:color w:val="231F20"/>
          <w:spacing w:val="3"/>
        </w:rPr>
        <w:t xml:space="preserve">compensation work </w:t>
      </w:r>
      <w:r>
        <w:rPr>
          <w:color w:val="231F20"/>
        </w:rPr>
        <w:t xml:space="preserve">of </w:t>
      </w:r>
      <w:r>
        <w:rPr>
          <w:color w:val="231F20"/>
          <w:spacing w:val="2"/>
        </w:rPr>
        <w:t xml:space="preserve">the </w:t>
      </w:r>
      <w:r>
        <w:rPr>
          <w:color w:val="231F20"/>
          <w:spacing w:val="3"/>
        </w:rPr>
        <w:t xml:space="preserve">building </w:t>
      </w:r>
      <w:r>
        <w:rPr>
          <w:color w:val="231F20"/>
          <w:spacing w:val="4"/>
        </w:rPr>
        <w:t xml:space="preserve">expropriation </w:t>
      </w:r>
      <w:r>
        <w:rPr>
          <w:color w:val="231F20"/>
        </w:rPr>
        <w:t xml:space="preserve">department of the county </w:t>
      </w:r>
      <w:r>
        <w:rPr>
          <w:color w:val="231F20"/>
          <w:spacing w:val="-3"/>
        </w:rPr>
        <w:t xml:space="preserve">(city, </w:t>
      </w:r>
      <w:r>
        <w:rPr>
          <w:color w:val="231F20"/>
        </w:rPr>
        <w:t>district) under its</w:t>
      </w:r>
      <w:r>
        <w:rPr>
          <w:color w:val="231F20"/>
          <w:spacing w:val="3"/>
        </w:rPr>
        <w:t xml:space="preserve"> </w:t>
      </w:r>
      <w:r>
        <w:rPr>
          <w:color w:val="231F20"/>
        </w:rPr>
        <w:t>jurisdiction.</w:t>
      </w:r>
    </w:p>
    <w:p w14:paraId="07031608">
      <w:pPr>
        <w:pStyle w:val="3"/>
        <w:spacing w:before="2" w:line="331" w:lineRule="auto"/>
        <w:ind w:right="239" w:firstLine="630" w:firstLineChars="300"/>
        <w:jc w:val="both"/>
      </w:pPr>
      <w:r>
        <w:rPr>
          <w:b/>
          <w:color w:val="231F20"/>
        </w:rPr>
        <w:t xml:space="preserve">Article 8. </w:t>
      </w:r>
      <w:r>
        <w:rPr>
          <w:color w:val="231F20"/>
        </w:rPr>
        <w:t>Any organization or individual shall be entitled to report any violation of the Regulation on the Expropriation of Buildings on State-owned Land and Compensation and these Measures to the relevant people's government, the building expropriation department or any other relevant department. The relevant people's government, the building expropriation department or any other relevant department receiving a report shall verify and deal with it in a timely manner.</w:t>
      </w:r>
    </w:p>
    <w:p w14:paraId="130A7EB1">
      <w:pPr>
        <w:pStyle w:val="3"/>
        <w:spacing w:before="1"/>
        <w:jc w:val="both"/>
        <w:rPr>
          <w:sz w:val="29"/>
        </w:rPr>
      </w:pPr>
    </w:p>
    <w:p w14:paraId="3319AA1C">
      <w:pPr>
        <w:spacing w:before="0"/>
        <w:ind w:left="1725" w:right="1743" w:firstLine="0"/>
        <w:jc w:val="both"/>
        <w:rPr>
          <w:b/>
          <w:sz w:val="24"/>
        </w:rPr>
      </w:pPr>
      <w:r>
        <w:rPr>
          <w:b/>
          <w:color w:val="231F20"/>
          <w:sz w:val="24"/>
        </w:rPr>
        <w:t>Chapter II Expropriation Decisions</w:t>
      </w:r>
    </w:p>
    <w:p w14:paraId="04190076">
      <w:pPr>
        <w:pStyle w:val="3"/>
        <w:spacing w:before="4"/>
        <w:jc w:val="both"/>
        <w:rPr>
          <w:b/>
          <w:sz w:val="34"/>
        </w:rPr>
      </w:pPr>
    </w:p>
    <w:p w14:paraId="07ED419F">
      <w:pPr>
        <w:pStyle w:val="3"/>
        <w:keepNext w:val="0"/>
        <w:keepLines w:val="0"/>
        <w:pageBreakBefore w:val="0"/>
        <w:widowControl w:val="0"/>
        <w:kinsoku/>
        <w:wordWrap/>
        <w:overflowPunct/>
        <w:topLinePunct w:val="0"/>
        <w:autoSpaceDE w:val="0"/>
        <w:autoSpaceDN w:val="0"/>
        <w:bidi w:val="0"/>
        <w:adjustRightInd/>
        <w:snapToGrid/>
        <w:ind w:firstLine="630" w:firstLineChars="300"/>
        <w:jc w:val="both"/>
        <w:textAlignment w:val="auto"/>
      </w:pPr>
      <w:r>
        <w:rPr>
          <w:b/>
          <w:color w:val="231F20"/>
        </w:rPr>
        <w:t xml:space="preserve">Article 9. </w:t>
      </w:r>
      <w:r>
        <w:rPr>
          <w:color w:val="231F20"/>
        </w:rPr>
        <w:t>The people’s government at the city or county level shall demonstrate the public</w:t>
      </w:r>
      <w:r>
        <w:rPr>
          <w:rFonts w:hint="eastAsia" w:eastAsia="宋体"/>
          <w:color w:val="231F20"/>
          <w:lang w:val="en-US" w:eastAsia="zh-CN"/>
        </w:rPr>
        <w:t xml:space="preserve"> </w:t>
      </w:r>
      <w:r>
        <w:rPr>
          <w:color w:val="231F20"/>
        </w:rPr>
        <w:t>interest attributes of the building projects to be expropriated.</w:t>
      </w:r>
    </w:p>
    <w:p w14:paraId="076D56F4">
      <w:pPr>
        <w:pStyle w:val="3"/>
        <w:spacing w:before="93" w:line="331" w:lineRule="auto"/>
        <w:ind w:right="238" w:firstLine="630" w:firstLineChars="300"/>
        <w:jc w:val="both"/>
      </w:pPr>
      <w:r>
        <w:rPr>
          <w:color w:val="231F20"/>
        </w:rPr>
        <w:t>As for construction activities where the buildings have to be expropriated for the public interest as stipulated by laws and administrative regulations, the development and reform, natural resources and other relevant departments shall examine the conformity with the national economic and social development plans, the land and space plans and the special plans, and issue written opinions.</w:t>
      </w:r>
    </w:p>
    <w:p w14:paraId="1BCEE3DA">
      <w:pPr>
        <w:pStyle w:val="3"/>
        <w:spacing w:before="4" w:line="331" w:lineRule="auto"/>
        <w:ind w:right="235" w:firstLine="630" w:firstLineChars="300"/>
        <w:jc w:val="both"/>
      </w:pPr>
      <w:r>
        <w:rPr>
          <w:color w:val="231F20"/>
        </w:rPr>
        <w:t>The building expropriation for construction of affordable building projects and reconstruction of old urban areas shall be included in the annual plans for the national economic and social development of the city and county levels; where it is really necessary but not included in the annual plan, it shall be adjusted and incorporated into the annual plans for national economic and social development in accordance with law.</w:t>
      </w:r>
    </w:p>
    <w:p w14:paraId="1CC67890">
      <w:pPr>
        <w:pStyle w:val="3"/>
        <w:spacing w:before="3" w:line="331" w:lineRule="auto"/>
        <w:ind w:right="241" w:firstLine="630" w:firstLineChars="300"/>
        <w:jc w:val="both"/>
      </w:pPr>
      <w:r>
        <w:rPr>
          <w:b/>
          <w:color w:val="231F20"/>
        </w:rPr>
        <w:t xml:space="preserve">Article 10. </w:t>
      </w:r>
      <w:r>
        <w:rPr>
          <w:color w:val="231F20"/>
        </w:rPr>
        <w:t>Where building expropriation is needed for the reconstruction of old urban areas, it shall meet the conditions for concentrated dangerous buildings and backwardness infrastructure, and shall be implemented only upon the verification by the relevant departments under the people's governments at city or county level. The specific conditions and procedures for verification shall be formulated and promulgated by the people's governments at the city or county level.</w:t>
      </w:r>
    </w:p>
    <w:p w14:paraId="0A18E487">
      <w:pPr>
        <w:pStyle w:val="3"/>
        <w:spacing w:before="4" w:line="331" w:lineRule="auto"/>
        <w:ind w:right="237" w:firstLine="630" w:firstLineChars="300"/>
        <w:jc w:val="both"/>
      </w:pPr>
      <w:r>
        <w:rPr>
          <w:b/>
          <w:color w:val="231F20"/>
        </w:rPr>
        <w:t xml:space="preserve">Article 11. </w:t>
      </w:r>
      <w:r>
        <w:rPr>
          <w:color w:val="231F20"/>
        </w:rPr>
        <w:t>The people’s government at the city or county level shall organize departments for natural resources, construction of building, urban and rural areas, etc., to determine and promulgate the scope of building expropriation in accordance with the land and space planning and special plans, as well as on-site investigation.</w:t>
      </w:r>
    </w:p>
    <w:p w14:paraId="6B0FE1AE">
      <w:pPr>
        <w:pStyle w:val="3"/>
        <w:spacing w:before="3" w:line="331" w:lineRule="auto"/>
        <w:ind w:right="240" w:firstLine="630" w:firstLineChars="300"/>
        <w:jc w:val="both"/>
      </w:pPr>
      <w:r>
        <w:rPr>
          <w:b/>
          <w:color w:val="231F20"/>
        </w:rPr>
        <w:t xml:space="preserve">Article 12. </w:t>
      </w:r>
      <w:r>
        <w:rPr>
          <w:color w:val="231F20"/>
        </w:rPr>
        <w:t>After the scope of expropriation is determined, acts which lead to an improper increase of compensation fees, such as new construction, expansion or reconstruction of a building or a change of the use of a building within the scope of expropriation, shall be prohibited. For such acts in violation of the relevant provisions, no compensation shall be made.</w:t>
      </w:r>
    </w:p>
    <w:p w14:paraId="01C4D6A1">
      <w:pPr>
        <w:pStyle w:val="3"/>
        <w:spacing w:before="3" w:line="331" w:lineRule="auto"/>
        <w:ind w:right="243" w:firstLine="630" w:firstLineChars="300"/>
        <w:jc w:val="both"/>
      </w:pPr>
      <w:r>
        <w:rPr>
          <w:color w:val="231F20"/>
        </w:rPr>
        <w:t>The building expropriation department shall notify the relevant departments in writing of suspending the handling of relevant formalities for the matters as listed in the preceding paragraph. The period of suspension shall be no longer than one year.</w:t>
      </w:r>
    </w:p>
    <w:p w14:paraId="3A992D9D">
      <w:pPr>
        <w:pStyle w:val="3"/>
        <w:spacing w:before="2" w:line="331" w:lineRule="auto"/>
        <w:ind w:right="237" w:firstLine="630" w:firstLineChars="300"/>
        <w:jc w:val="both"/>
      </w:pPr>
      <w:r>
        <w:rPr>
          <w:color w:val="231F20"/>
        </w:rPr>
        <w:t>The people's governments at the city or county level shall, within the time limit for suspension, make a decision on the building expropriation. If no decision is made within the time limit, the suspension shall be released automatically upon the expiration of the time limit for suspension.</w:t>
      </w:r>
    </w:p>
    <w:p w14:paraId="329304CD">
      <w:pPr>
        <w:pStyle w:val="3"/>
        <w:spacing w:before="3" w:line="331" w:lineRule="auto"/>
        <w:ind w:right="240" w:firstLine="630" w:firstLineChars="300"/>
        <w:jc w:val="both"/>
      </w:pPr>
      <w:r>
        <w:rPr>
          <w:b/>
          <w:color w:val="231F20"/>
        </w:rPr>
        <w:t xml:space="preserve">Article 13. </w:t>
      </w:r>
      <w:r>
        <w:rPr>
          <w:color w:val="231F20"/>
        </w:rPr>
        <w:t>The building expropriation department shall organize surveys and registration of the ownership, location, use, construction area, etc. of buildings within the scope of expropriation, and the owners shall provide cooperation. The survey results shall be announced to the owners within the scope of expropriation.</w:t>
      </w:r>
    </w:p>
    <w:p w14:paraId="566778CA">
      <w:pPr>
        <w:pStyle w:val="3"/>
        <w:spacing w:before="91" w:line="364" w:lineRule="auto"/>
        <w:ind w:right="242" w:firstLine="630" w:firstLineChars="300"/>
        <w:jc w:val="both"/>
      </w:pPr>
      <w:r>
        <w:rPr>
          <w:b/>
          <w:color w:val="231F20"/>
        </w:rPr>
        <w:t xml:space="preserve">Article 14. </w:t>
      </w:r>
      <w:r>
        <w:rPr>
          <w:color w:val="231F20"/>
        </w:rPr>
        <w:t xml:space="preserve">Before making a decision on the building expropriation, the people’s government at the city or county level shall organize the relevant departments, such as natural resources, urban and rural building construction, market supervision and taxation, to investigate, verify and deal  with buildings unregistered within the scope of expropriation in accordance with </w:t>
      </w:r>
      <w:r>
        <w:rPr>
          <w:color w:val="231F20"/>
          <w:spacing w:val="-4"/>
        </w:rPr>
        <w:t xml:space="preserve">law. </w:t>
      </w:r>
      <w:r>
        <w:rPr>
          <w:color w:val="231F20"/>
        </w:rPr>
        <w:t>The specific criteria of verification shall be determined and promulgated by the people's governments at city and county levels.</w:t>
      </w:r>
    </w:p>
    <w:p w14:paraId="067BC377">
      <w:pPr>
        <w:pStyle w:val="3"/>
        <w:spacing w:before="6" w:line="364" w:lineRule="auto"/>
        <w:ind w:right="234" w:firstLine="666" w:firstLineChars="300"/>
        <w:jc w:val="both"/>
      </w:pPr>
      <w:r>
        <w:rPr>
          <w:b/>
          <w:color w:val="231F20"/>
          <w:spacing w:val="6"/>
        </w:rPr>
        <w:t xml:space="preserve">Article </w:t>
      </w:r>
      <w:r>
        <w:rPr>
          <w:b/>
          <w:color w:val="231F20"/>
          <w:spacing w:val="4"/>
        </w:rPr>
        <w:t xml:space="preserve">15. </w:t>
      </w:r>
      <w:r>
        <w:rPr>
          <w:color w:val="231F20"/>
          <w:spacing w:val="4"/>
        </w:rPr>
        <w:t xml:space="preserve">The </w:t>
      </w:r>
      <w:r>
        <w:rPr>
          <w:color w:val="231F20"/>
          <w:spacing w:val="6"/>
        </w:rPr>
        <w:t xml:space="preserve">building expropriation department </w:t>
      </w:r>
      <w:r>
        <w:rPr>
          <w:color w:val="231F20"/>
          <w:spacing w:val="5"/>
        </w:rPr>
        <w:t xml:space="preserve">shall draw </w:t>
      </w:r>
      <w:r>
        <w:rPr>
          <w:color w:val="231F20"/>
          <w:spacing w:val="3"/>
        </w:rPr>
        <w:t xml:space="preserve">up </w:t>
      </w:r>
      <w:r>
        <w:rPr>
          <w:color w:val="231F20"/>
        </w:rPr>
        <w:t xml:space="preserve">a </w:t>
      </w:r>
      <w:r>
        <w:rPr>
          <w:color w:val="231F20"/>
          <w:spacing w:val="6"/>
        </w:rPr>
        <w:t xml:space="preserve">expropriation </w:t>
      </w:r>
      <w:r>
        <w:rPr>
          <w:color w:val="231F20"/>
          <w:spacing w:val="7"/>
        </w:rPr>
        <w:t xml:space="preserve">and </w:t>
      </w:r>
      <w:r>
        <w:rPr>
          <w:color w:val="231F20"/>
        </w:rPr>
        <w:t xml:space="preserve">compensation program, and report it to the people's government at the city or county level. The people’s government at the city or county level shall organize the relevant departments of urban </w:t>
      </w:r>
      <w:r>
        <w:rPr>
          <w:color w:val="231F20"/>
          <w:spacing w:val="3"/>
        </w:rPr>
        <w:t xml:space="preserve">and </w:t>
      </w:r>
      <w:r>
        <w:rPr>
          <w:color w:val="231F20"/>
          <w:spacing w:val="4"/>
        </w:rPr>
        <w:t xml:space="preserve">rural building construction, development </w:t>
      </w:r>
      <w:r>
        <w:rPr>
          <w:color w:val="231F20"/>
          <w:spacing w:val="3"/>
        </w:rPr>
        <w:t xml:space="preserve">and </w:t>
      </w:r>
      <w:r>
        <w:rPr>
          <w:color w:val="231F20"/>
          <w:spacing w:val="4"/>
        </w:rPr>
        <w:t xml:space="preserve">reform, finance, natural resources, </w:t>
      </w:r>
      <w:r>
        <w:rPr>
          <w:color w:val="231F20"/>
          <w:spacing w:val="5"/>
        </w:rPr>
        <w:t xml:space="preserve">market </w:t>
      </w:r>
      <w:r>
        <w:rPr>
          <w:color w:val="231F20"/>
        </w:rPr>
        <w:t>supervision, taxation and other relevant departments to demonstrate and promulgate the legality and feasibility of the expropriation and compensation program, and solicit public opinions. The period for soliciting opinions shall not be less than 30</w:t>
      </w:r>
      <w:r>
        <w:rPr>
          <w:color w:val="231F20"/>
          <w:spacing w:val="-4"/>
        </w:rPr>
        <w:t xml:space="preserve"> </w:t>
      </w:r>
      <w:r>
        <w:rPr>
          <w:color w:val="231F20"/>
        </w:rPr>
        <w:t>days.</w:t>
      </w:r>
    </w:p>
    <w:p w14:paraId="1084475B">
      <w:pPr>
        <w:pStyle w:val="3"/>
        <w:spacing w:before="7"/>
        <w:ind w:left="707"/>
        <w:jc w:val="both"/>
      </w:pPr>
      <w:r>
        <w:rPr>
          <w:color w:val="231F20"/>
        </w:rPr>
        <w:t>The program should include the following:</w:t>
      </w:r>
    </w:p>
    <w:p w14:paraId="472E123B">
      <w:pPr>
        <w:pStyle w:val="6"/>
        <w:numPr>
          <w:ilvl w:val="0"/>
          <w:numId w:val="1"/>
        </w:numPr>
        <w:tabs>
          <w:tab w:val="left" w:pos="1006"/>
        </w:tabs>
        <w:spacing w:before="126" w:after="0" w:line="240" w:lineRule="auto"/>
        <w:ind w:left="1005" w:right="0" w:hanging="299"/>
        <w:jc w:val="both"/>
        <w:rPr>
          <w:sz w:val="21"/>
        </w:rPr>
      </w:pPr>
      <w:r>
        <w:rPr>
          <w:color w:val="231F20"/>
          <w:sz w:val="21"/>
        </w:rPr>
        <w:t>the purpose of the building expropriation;</w:t>
      </w:r>
    </w:p>
    <w:p w14:paraId="5DA71A40">
      <w:pPr>
        <w:pStyle w:val="6"/>
        <w:numPr>
          <w:ilvl w:val="0"/>
          <w:numId w:val="1"/>
        </w:numPr>
        <w:tabs>
          <w:tab w:val="left" w:pos="1006"/>
        </w:tabs>
        <w:spacing w:before="127" w:after="0" w:line="240" w:lineRule="auto"/>
        <w:ind w:left="1005" w:right="0" w:hanging="299"/>
        <w:jc w:val="both"/>
        <w:rPr>
          <w:sz w:val="21"/>
        </w:rPr>
      </w:pPr>
      <w:r>
        <w:rPr>
          <w:color w:val="231F20"/>
          <w:sz w:val="21"/>
        </w:rPr>
        <w:t>the scope and time of building</w:t>
      </w:r>
      <w:r>
        <w:rPr>
          <w:color w:val="231F20"/>
          <w:spacing w:val="-2"/>
          <w:sz w:val="21"/>
        </w:rPr>
        <w:t xml:space="preserve"> </w:t>
      </w:r>
      <w:r>
        <w:rPr>
          <w:color w:val="231F20"/>
          <w:sz w:val="21"/>
        </w:rPr>
        <w:t>expropriation;</w:t>
      </w:r>
    </w:p>
    <w:p w14:paraId="58B70A3A">
      <w:pPr>
        <w:pStyle w:val="6"/>
        <w:numPr>
          <w:ilvl w:val="0"/>
          <w:numId w:val="1"/>
        </w:numPr>
        <w:tabs>
          <w:tab w:val="left" w:pos="1006"/>
        </w:tabs>
        <w:spacing w:before="126" w:after="0" w:line="240" w:lineRule="auto"/>
        <w:ind w:left="1005" w:right="0" w:hanging="299"/>
        <w:jc w:val="both"/>
        <w:rPr>
          <w:sz w:val="21"/>
        </w:rPr>
      </w:pPr>
      <w:r>
        <w:rPr>
          <w:color w:val="231F20"/>
          <w:sz w:val="21"/>
        </w:rPr>
        <w:t>financing of expropriation compensation</w:t>
      </w:r>
      <w:r>
        <w:rPr>
          <w:color w:val="231F20"/>
          <w:spacing w:val="-2"/>
          <w:sz w:val="21"/>
        </w:rPr>
        <w:t xml:space="preserve"> </w:t>
      </w:r>
      <w:r>
        <w:rPr>
          <w:color w:val="231F20"/>
          <w:sz w:val="21"/>
        </w:rPr>
        <w:t>fees;</w:t>
      </w:r>
    </w:p>
    <w:p w14:paraId="72071BF8">
      <w:pPr>
        <w:pStyle w:val="6"/>
        <w:numPr>
          <w:ilvl w:val="0"/>
          <w:numId w:val="1"/>
        </w:numPr>
        <w:tabs>
          <w:tab w:val="left" w:pos="1006"/>
        </w:tabs>
        <w:spacing w:before="127" w:after="0" w:line="240" w:lineRule="auto"/>
        <w:ind w:left="1005" w:right="0" w:hanging="299"/>
        <w:jc w:val="both"/>
        <w:rPr>
          <w:sz w:val="21"/>
        </w:rPr>
      </w:pPr>
      <w:r>
        <w:rPr>
          <w:color w:val="231F20"/>
          <w:sz w:val="21"/>
        </w:rPr>
        <w:t>the basic situation of the expropriated</w:t>
      </w:r>
      <w:r>
        <w:rPr>
          <w:color w:val="231F20"/>
          <w:spacing w:val="-2"/>
          <w:sz w:val="21"/>
        </w:rPr>
        <w:t xml:space="preserve"> </w:t>
      </w:r>
      <w:r>
        <w:rPr>
          <w:color w:val="231F20"/>
          <w:sz w:val="21"/>
        </w:rPr>
        <w:t>building;</w:t>
      </w:r>
    </w:p>
    <w:p w14:paraId="34209F1E">
      <w:pPr>
        <w:pStyle w:val="6"/>
        <w:numPr>
          <w:ilvl w:val="0"/>
          <w:numId w:val="1"/>
        </w:numPr>
        <w:tabs>
          <w:tab w:val="left" w:pos="1015"/>
        </w:tabs>
        <w:spacing w:before="126" w:after="0" w:line="364" w:lineRule="auto"/>
        <w:ind w:left="225" w:right="240" w:firstLine="481"/>
        <w:jc w:val="both"/>
        <w:rPr>
          <w:sz w:val="21"/>
        </w:rPr>
      </w:pPr>
      <w:r>
        <w:rPr>
          <w:color w:val="231F20"/>
          <w:sz w:val="21"/>
        </w:rPr>
        <w:t xml:space="preserve">the method of compensation for building expropriation, the compensation criteria and the calculation method, the </w:t>
      </w:r>
      <w:r>
        <w:rPr>
          <w:color w:val="231F20"/>
          <w:spacing w:val="-3"/>
          <w:sz w:val="21"/>
        </w:rPr>
        <w:t xml:space="preserve">subsidy, </w:t>
      </w:r>
      <w:r>
        <w:rPr>
          <w:color w:val="231F20"/>
          <w:sz w:val="21"/>
        </w:rPr>
        <w:t>the reward criteria and the calculation method, the basic situation and the delivery time of the title exchanged building, the compensation criteria and the calculation method for the loss of production and business suspension, the relocation period, the transition mode and the transition period, etc.;</w:t>
      </w:r>
    </w:p>
    <w:p w14:paraId="33A0B5B0">
      <w:pPr>
        <w:pStyle w:val="6"/>
        <w:numPr>
          <w:ilvl w:val="0"/>
          <w:numId w:val="1"/>
        </w:numPr>
        <w:tabs>
          <w:tab w:val="left" w:pos="1006"/>
        </w:tabs>
        <w:spacing w:before="5" w:after="0" w:line="240" w:lineRule="auto"/>
        <w:ind w:left="1005" w:right="0" w:hanging="299"/>
        <w:jc w:val="both"/>
        <w:rPr>
          <w:sz w:val="21"/>
        </w:rPr>
      </w:pPr>
      <w:r>
        <w:rPr>
          <w:color w:val="231F20"/>
          <w:sz w:val="21"/>
        </w:rPr>
        <w:t>the time limit for signing an agreement on expropriation and</w:t>
      </w:r>
      <w:r>
        <w:rPr>
          <w:color w:val="231F20"/>
          <w:spacing w:val="-3"/>
          <w:sz w:val="21"/>
        </w:rPr>
        <w:t xml:space="preserve"> </w:t>
      </w:r>
      <w:r>
        <w:rPr>
          <w:color w:val="231F20"/>
          <w:sz w:val="21"/>
        </w:rPr>
        <w:t>compensation;</w:t>
      </w:r>
    </w:p>
    <w:p w14:paraId="6DE800CF">
      <w:pPr>
        <w:pStyle w:val="6"/>
        <w:numPr>
          <w:ilvl w:val="0"/>
          <w:numId w:val="1"/>
        </w:numPr>
        <w:tabs>
          <w:tab w:val="left" w:pos="1006"/>
        </w:tabs>
        <w:spacing w:before="126" w:after="0" w:line="240" w:lineRule="auto"/>
        <w:ind w:left="1005" w:right="0" w:hanging="299"/>
        <w:jc w:val="both"/>
        <w:rPr>
          <w:sz w:val="21"/>
        </w:rPr>
      </w:pPr>
      <w:r>
        <w:rPr>
          <w:color w:val="231F20"/>
          <w:sz w:val="21"/>
        </w:rPr>
        <w:t>other elements to be</w:t>
      </w:r>
      <w:r>
        <w:rPr>
          <w:color w:val="231F20"/>
          <w:spacing w:val="-1"/>
          <w:sz w:val="21"/>
        </w:rPr>
        <w:t xml:space="preserve"> </w:t>
      </w:r>
      <w:r>
        <w:rPr>
          <w:color w:val="231F20"/>
          <w:sz w:val="21"/>
        </w:rPr>
        <w:t>clarified.</w:t>
      </w:r>
    </w:p>
    <w:p w14:paraId="38EDEC8B">
      <w:pPr>
        <w:pStyle w:val="3"/>
        <w:spacing w:before="127" w:line="364" w:lineRule="auto"/>
        <w:ind w:right="242" w:firstLine="630" w:firstLineChars="300"/>
        <w:jc w:val="both"/>
      </w:pPr>
      <w:r>
        <w:rPr>
          <w:b/>
          <w:color w:val="231F20"/>
        </w:rPr>
        <w:t xml:space="preserve">Article 16. </w:t>
      </w:r>
      <w:r>
        <w:rPr>
          <w:color w:val="231F20"/>
        </w:rPr>
        <w:t>The people’s government at the city or county level shall promptly disclose the situation of soliciting opinions and revisions in accordance with public opinions.</w:t>
      </w:r>
    </w:p>
    <w:p w14:paraId="713B3AF5">
      <w:pPr>
        <w:pStyle w:val="3"/>
        <w:spacing w:before="2" w:line="364" w:lineRule="auto"/>
        <w:ind w:right="237" w:firstLine="630" w:firstLineChars="300"/>
        <w:jc w:val="both"/>
      </w:pPr>
      <w:r>
        <w:rPr>
          <w:color w:val="231F20"/>
        </w:rPr>
        <w:t xml:space="preserve">In </w:t>
      </w:r>
      <w:r>
        <w:rPr>
          <w:color w:val="231F20"/>
          <w:spacing w:val="2"/>
        </w:rPr>
        <w:t xml:space="preserve">case </w:t>
      </w:r>
      <w:r>
        <w:rPr>
          <w:color w:val="231F20"/>
        </w:rPr>
        <w:t xml:space="preserve">of </w:t>
      </w:r>
      <w:r>
        <w:rPr>
          <w:color w:val="231F20"/>
          <w:spacing w:val="2"/>
        </w:rPr>
        <w:t xml:space="preserve">building expropriation </w:t>
      </w:r>
      <w:r>
        <w:rPr>
          <w:color w:val="231F20"/>
        </w:rPr>
        <w:t xml:space="preserve">for </w:t>
      </w:r>
      <w:r>
        <w:rPr>
          <w:color w:val="231F20"/>
          <w:spacing w:val="2"/>
        </w:rPr>
        <w:t xml:space="preserve">reconstruction </w:t>
      </w:r>
      <w:r>
        <w:rPr>
          <w:color w:val="231F20"/>
        </w:rPr>
        <w:t xml:space="preserve">of old </w:t>
      </w:r>
      <w:r>
        <w:rPr>
          <w:color w:val="231F20"/>
          <w:spacing w:val="2"/>
        </w:rPr>
        <w:t xml:space="preserve">urban areas, where more </w:t>
      </w:r>
      <w:r>
        <w:rPr>
          <w:color w:val="231F20"/>
          <w:spacing w:val="3"/>
        </w:rPr>
        <w:t xml:space="preserve">than  </w:t>
      </w:r>
      <w:r>
        <w:rPr>
          <w:color w:val="231F20"/>
          <w:spacing w:val="2"/>
        </w:rPr>
        <w:t xml:space="preserve">half (excluding half) </w:t>
      </w:r>
      <w:r>
        <w:rPr>
          <w:color w:val="231F20"/>
        </w:rPr>
        <w:t xml:space="preserve">of the </w:t>
      </w:r>
      <w:r>
        <w:rPr>
          <w:color w:val="231F20"/>
          <w:spacing w:val="2"/>
        </w:rPr>
        <w:t xml:space="preserve">expropriated persons consider that </w:t>
      </w:r>
      <w:r>
        <w:rPr>
          <w:color w:val="231F20"/>
        </w:rPr>
        <w:t xml:space="preserve">the </w:t>
      </w:r>
      <w:r>
        <w:rPr>
          <w:color w:val="231F20"/>
          <w:spacing w:val="2"/>
        </w:rPr>
        <w:t xml:space="preserve">expropriation </w:t>
      </w:r>
      <w:r>
        <w:rPr>
          <w:color w:val="231F20"/>
          <w:spacing w:val="3"/>
        </w:rPr>
        <w:t xml:space="preserve">compensation </w:t>
      </w:r>
      <w:r>
        <w:rPr>
          <w:color w:val="231F20"/>
        </w:rPr>
        <w:t>program does not conform to the provisions of the Regulation on the  Expropriation  of Buildings on State-owned Land and Compensation and these Measures, the people’s government at the city  or</w:t>
      </w:r>
      <w:r>
        <w:rPr>
          <w:color w:val="231F20"/>
          <w:spacing w:val="14"/>
        </w:rPr>
        <w:t xml:space="preserve"> </w:t>
      </w:r>
      <w:r>
        <w:rPr>
          <w:color w:val="231F20"/>
        </w:rPr>
        <w:t>county</w:t>
      </w:r>
      <w:r>
        <w:rPr>
          <w:color w:val="231F20"/>
          <w:spacing w:val="14"/>
        </w:rPr>
        <w:t xml:space="preserve"> </w:t>
      </w:r>
      <w:r>
        <w:rPr>
          <w:color w:val="231F20"/>
        </w:rPr>
        <w:t>level</w:t>
      </w:r>
      <w:r>
        <w:rPr>
          <w:color w:val="231F20"/>
          <w:spacing w:val="15"/>
        </w:rPr>
        <w:t xml:space="preserve"> </w:t>
      </w:r>
      <w:r>
        <w:rPr>
          <w:color w:val="231F20"/>
        </w:rPr>
        <w:t>shall</w:t>
      </w:r>
      <w:r>
        <w:rPr>
          <w:color w:val="231F20"/>
          <w:spacing w:val="14"/>
        </w:rPr>
        <w:t xml:space="preserve"> </w:t>
      </w:r>
      <w:r>
        <w:rPr>
          <w:color w:val="231F20"/>
        </w:rPr>
        <w:t>organize</w:t>
      </w:r>
      <w:r>
        <w:rPr>
          <w:color w:val="231F20"/>
          <w:spacing w:val="15"/>
        </w:rPr>
        <w:t xml:space="preserve"> </w:t>
      </w:r>
      <w:r>
        <w:rPr>
          <w:color w:val="231F20"/>
        </w:rPr>
        <w:t>and</w:t>
      </w:r>
      <w:r>
        <w:rPr>
          <w:color w:val="231F20"/>
          <w:spacing w:val="14"/>
        </w:rPr>
        <w:t xml:space="preserve"> </w:t>
      </w:r>
      <w:r>
        <w:rPr>
          <w:color w:val="231F20"/>
        </w:rPr>
        <w:t>hold</w:t>
      </w:r>
      <w:r>
        <w:rPr>
          <w:color w:val="231F20"/>
          <w:spacing w:val="15"/>
        </w:rPr>
        <w:t xml:space="preserve"> </w:t>
      </w:r>
      <w:r>
        <w:rPr>
          <w:color w:val="231F20"/>
        </w:rPr>
        <w:t>a</w:t>
      </w:r>
      <w:r>
        <w:rPr>
          <w:color w:val="231F20"/>
          <w:spacing w:val="14"/>
        </w:rPr>
        <w:t xml:space="preserve"> </w:t>
      </w:r>
      <w:r>
        <w:rPr>
          <w:color w:val="231F20"/>
        </w:rPr>
        <w:t>hearing</w:t>
      </w:r>
      <w:r>
        <w:rPr>
          <w:color w:val="231F20"/>
          <w:spacing w:val="15"/>
        </w:rPr>
        <w:t xml:space="preserve"> </w:t>
      </w:r>
      <w:r>
        <w:rPr>
          <w:color w:val="231F20"/>
        </w:rPr>
        <w:t>attended</w:t>
      </w:r>
      <w:r>
        <w:rPr>
          <w:color w:val="231F20"/>
          <w:spacing w:val="14"/>
        </w:rPr>
        <w:t xml:space="preserve"> </w:t>
      </w:r>
      <w:r>
        <w:rPr>
          <w:color w:val="231F20"/>
        </w:rPr>
        <w:t>by</w:t>
      </w:r>
      <w:r>
        <w:rPr>
          <w:color w:val="231F20"/>
          <w:spacing w:val="15"/>
        </w:rPr>
        <w:t xml:space="preserve"> </w:t>
      </w:r>
      <w:r>
        <w:rPr>
          <w:color w:val="231F20"/>
        </w:rPr>
        <w:t>the</w:t>
      </w:r>
      <w:r>
        <w:rPr>
          <w:color w:val="231F20"/>
          <w:spacing w:val="14"/>
        </w:rPr>
        <w:t xml:space="preserve"> </w:t>
      </w:r>
      <w:r>
        <w:rPr>
          <w:color w:val="231F20"/>
        </w:rPr>
        <w:t>expropriated</w:t>
      </w:r>
      <w:r>
        <w:rPr>
          <w:color w:val="231F20"/>
          <w:spacing w:val="15"/>
        </w:rPr>
        <w:t xml:space="preserve"> </w:t>
      </w:r>
      <w:r>
        <w:rPr>
          <w:color w:val="231F20"/>
        </w:rPr>
        <w:t>persons</w:t>
      </w:r>
      <w:r>
        <w:rPr>
          <w:color w:val="231F20"/>
          <w:spacing w:val="14"/>
        </w:rPr>
        <w:t xml:space="preserve"> </w:t>
      </w:r>
      <w:r>
        <w:rPr>
          <w:color w:val="231F20"/>
        </w:rPr>
        <w:t>and</w:t>
      </w:r>
      <w:r>
        <w:rPr>
          <w:color w:val="231F20"/>
          <w:spacing w:val="15"/>
        </w:rPr>
        <w:t xml:space="preserve"> </w:t>
      </w:r>
      <w:r>
        <w:rPr>
          <w:color w:val="231F20"/>
        </w:rPr>
        <w:t>public</w:t>
      </w:r>
      <w:r>
        <w:rPr>
          <w:rFonts w:hint="eastAsia" w:eastAsia="宋体"/>
          <w:color w:val="231F20"/>
          <w:lang w:val="en-US" w:eastAsia="zh-CN"/>
        </w:rPr>
        <w:t xml:space="preserve"> </w:t>
      </w:r>
      <w:r>
        <w:rPr>
          <w:color w:val="231F20"/>
        </w:rPr>
        <w:t>representatives, amend the expropriation compensation program in accordance with the hearing,</w:t>
      </w:r>
      <w:r>
        <w:rPr>
          <w:rFonts w:hint="eastAsia" w:eastAsia="宋体"/>
          <w:color w:val="231F20"/>
          <w:lang w:val="en-US" w:eastAsia="zh-CN"/>
        </w:rPr>
        <w:t xml:space="preserve"> </w:t>
      </w:r>
      <w:r>
        <w:rPr>
          <w:color w:val="231F20"/>
        </w:rPr>
        <w:t>and disclose it in a timely manner.</w:t>
      </w:r>
    </w:p>
    <w:p w14:paraId="0A5B682A">
      <w:pPr>
        <w:pStyle w:val="3"/>
        <w:spacing w:before="102" w:line="340" w:lineRule="auto"/>
        <w:ind w:right="235" w:firstLine="642" w:firstLineChars="300"/>
        <w:jc w:val="both"/>
      </w:pPr>
      <w:r>
        <w:rPr>
          <w:b/>
          <w:color w:val="231F20"/>
          <w:spacing w:val="2"/>
        </w:rPr>
        <w:t xml:space="preserve">Article </w:t>
      </w:r>
      <w:r>
        <w:rPr>
          <w:b/>
          <w:color w:val="231F20"/>
        </w:rPr>
        <w:t xml:space="preserve">17. </w:t>
      </w:r>
      <w:r>
        <w:rPr>
          <w:color w:val="231F20"/>
          <w:spacing w:val="3"/>
        </w:rPr>
        <w:t xml:space="preserve">Before </w:t>
      </w:r>
      <w:r>
        <w:rPr>
          <w:color w:val="231F20"/>
          <w:spacing w:val="2"/>
        </w:rPr>
        <w:t xml:space="preserve">the people's government </w:t>
      </w:r>
      <w:r>
        <w:rPr>
          <w:color w:val="231F20"/>
        </w:rPr>
        <w:t xml:space="preserve">at </w:t>
      </w:r>
      <w:r>
        <w:rPr>
          <w:color w:val="231F20"/>
          <w:spacing w:val="2"/>
        </w:rPr>
        <w:t xml:space="preserve">the </w:t>
      </w:r>
      <w:r>
        <w:rPr>
          <w:color w:val="231F20"/>
          <w:spacing w:val="3"/>
        </w:rPr>
        <w:t xml:space="preserve">city </w:t>
      </w:r>
      <w:r>
        <w:rPr>
          <w:color w:val="231F20"/>
        </w:rPr>
        <w:t xml:space="preserve">or </w:t>
      </w:r>
      <w:r>
        <w:rPr>
          <w:color w:val="231F20"/>
          <w:spacing w:val="3"/>
        </w:rPr>
        <w:t xml:space="preserve">county level makes </w:t>
      </w:r>
      <w:r>
        <w:rPr>
          <w:color w:val="231F20"/>
        </w:rPr>
        <w:t xml:space="preserve">a </w:t>
      </w:r>
      <w:r>
        <w:rPr>
          <w:color w:val="231F20"/>
          <w:spacing w:val="3"/>
        </w:rPr>
        <w:t>decision</w:t>
      </w:r>
      <w:r>
        <w:rPr>
          <w:color w:val="231F20"/>
          <w:spacing w:val="58"/>
        </w:rPr>
        <w:t xml:space="preserve"> </w:t>
      </w:r>
      <w:r>
        <w:rPr>
          <w:color w:val="231F20"/>
        </w:rPr>
        <w:t xml:space="preserve">on the building expropriation, the department or third party specialized agency assigned by </w:t>
      </w:r>
      <w:r>
        <w:rPr>
          <w:color w:val="231F20"/>
          <w:spacing w:val="2"/>
        </w:rPr>
        <w:t xml:space="preserve">the </w:t>
      </w:r>
      <w:r>
        <w:rPr>
          <w:color w:val="231F20"/>
        </w:rPr>
        <w:t>people's government at the corresponding level shall, in accordance with the relevant provisions, carry out a risk assessment on social stability and formulate corresponding mitigation measures  and contingency plans according to the conclusions of the assessment. A building expropriation decision shall not be made without the risk assessment on social stability or with the conclusion of in</w:t>
      </w:r>
      <w:r>
        <w:rPr>
          <w:rFonts w:hint="eastAsia" w:eastAsia="宋体"/>
          <w:color w:val="231F20"/>
          <w:lang w:val="en-US" w:eastAsia="zh-CN"/>
        </w:rPr>
        <w:t xml:space="preserve"> </w:t>
      </w:r>
      <w:r>
        <w:rPr>
          <w:color w:val="231F20"/>
        </w:rPr>
        <w:t>feasibility. Where the building expropriation decision involves a large number of expropriated persons, it shall be discussed and determined by the executive meeting of the people’s</w:t>
      </w:r>
      <w:r>
        <w:rPr>
          <w:color w:val="231F20"/>
          <w:spacing w:val="-18"/>
        </w:rPr>
        <w:t xml:space="preserve"> </w:t>
      </w:r>
      <w:r>
        <w:rPr>
          <w:color w:val="231F20"/>
        </w:rPr>
        <w:t>government.</w:t>
      </w:r>
    </w:p>
    <w:p w14:paraId="7A1000F8">
      <w:pPr>
        <w:pStyle w:val="3"/>
        <w:spacing w:before="9" w:line="340" w:lineRule="auto"/>
        <w:ind w:right="242" w:firstLine="630" w:firstLineChars="300"/>
        <w:jc w:val="both"/>
      </w:pPr>
      <w:r>
        <w:rPr>
          <w:b/>
          <w:color w:val="231F20"/>
        </w:rPr>
        <w:t xml:space="preserve">Article 18. </w:t>
      </w:r>
      <w:r>
        <w:rPr>
          <w:color w:val="231F20"/>
        </w:rPr>
        <w:t>Before the people's government at the city or county level makes a decision on  the building expropriation, the expropriation compensation fees shall be ready in full, deposited in special accounts and earmarked for special</w:t>
      </w:r>
      <w:r>
        <w:rPr>
          <w:color w:val="231F20"/>
          <w:spacing w:val="-3"/>
        </w:rPr>
        <w:t xml:space="preserve"> </w:t>
      </w:r>
      <w:r>
        <w:rPr>
          <w:color w:val="231F20"/>
        </w:rPr>
        <w:t>purposes.</w:t>
      </w:r>
    </w:p>
    <w:p w14:paraId="50B6A694">
      <w:pPr>
        <w:pStyle w:val="3"/>
        <w:spacing w:before="3" w:line="340" w:lineRule="auto"/>
        <w:ind w:right="233" w:firstLine="630" w:firstLineChars="300"/>
        <w:jc w:val="both"/>
      </w:pPr>
      <w:r>
        <w:rPr>
          <w:b/>
          <w:color w:val="231F20"/>
        </w:rPr>
        <w:t xml:space="preserve">Article 19. </w:t>
      </w:r>
      <w:r>
        <w:rPr>
          <w:color w:val="231F20"/>
        </w:rPr>
        <w:t>The people's government at the city or county level shall make a public announcement within three days after making a decision on the building expropriation. The public announcement shall specify the expropriation and compensation program, administrative reconsideration, administrative litigation rights and other matters. The building expropriation decision shall take effect from the date of announcement. The building expropriation decision and the expropriation compensation program of a district governed by city shall be reported to the building expropriation department of the people's government of the city for the record.</w:t>
      </w:r>
    </w:p>
    <w:p w14:paraId="3D5B882D">
      <w:pPr>
        <w:pStyle w:val="3"/>
        <w:keepNext w:val="0"/>
        <w:keepLines w:val="0"/>
        <w:pageBreakBefore w:val="0"/>
        <w:widowControl w:val="0"/>
        <w:kinsoku/>
        <w:wordWrap/>
        <w:overflowPunct/>
        <w:topLinePunct w:val="0"/>
        <w:autoSpaceDE w:val="0"/>
        <w:autoSpaceDN w:val="0"/>
        <w:bidi w:val="0"/>
        <w:adjustRightInd/>
        <w:snapToGrid/>
        <w:spacing w:before="0"/>
        <w:ind w:left="0" w:firstLine="630" w:firstLineChars="300"/>
        <w:jc w:val="both"/>
        <w:textAlignment w:val="auto"/>
      </w:pPr>
      <w:r>
        <w:rPr>
          <w:color w:val="231F20"/>
        </w:rPr>
        <w:t>Where the building is expropriated in accordance with law, the right to use state-owned land</w:t>
      </w:r>
      <w:r>
        <w:rPr>
          <w:rFonts w:hint="eastAsia" w:eastAsia="宋体"/>
          <w:color w:val="231F20"/>
          <w:lang w:val="en-US" w:eastAsia="zh-CN"/>
        </w:rPr>
        <w:t xml:space="preserve"> </w:t>
      </w:r>
      <w:r>
        <w:rPr>
          <w:color w:val="231F20"/>
        </w:rPr>
        <w:t>shall be recovered at the same time.</w:t>
      </w:r>
    </w:p>
    <w:p w14:paraId="1DD6035D">
      <w:pPr>
        <w:pStyle w:val="3"/>
        <w:spacing w:before="102" w:line="340" w:lineRule="auto"/>
        <w:ind w:right="243" w:firstLine="630" w:firstLineChars="300"/>
        <w:jc w:val="both"/>
      </w:pPr>
      <w:r>
        <w:rPr>
          <w:color w:val="231F20"/>
        </w:rPr>
        <w:t>If the expropriated person is not satisfied with the decision of building expropriation, he may apply for administrative reconsideration or file an administrative lawsuit in accordance with law.</w:t>
      </w:r>
    </w:p>
    <w:p w14:paraId="37CD84B2">
      <w:pPr>
        <w:pStyle w:val="3"/>
        <w:spacing w:before="2" w:line="340" w:lineRule="auto"/>
        <w:ind w:right="236" w:firstLine="630" w:firstLineChars="300"/>
        <w:jc w:val="both"/>
      </w:pPr>
      <w:r>
        <w:rPr>
          <w:b/>
          <w:color w:val="231F20"/>
        </w:rPr>
        <w:t xml:space="preserve">Article 20. </w:t>
      </w:r>
      <w:r>
        <w:rPr>
          <w:color w:val="231F20"/>
        </w:rPr>
        <w:t>The building expropriation department shall strengthen the information construction of the building expropriation work and encourage the application of building expropriation information system to strengthen the supervision and management on the building expropriation work.</w:t>
      </w:r>
    </w:p>
    <w:p w14:paraId="41CF6647">
      <w:pPr>
        <w:pStyle w:val="3"/>
        <w:jc w:val="both"/>
        <w:rPr>
          <w:sz w:val="30"/>
        </w:rPr>
      </w:pPr>
    </w:p>
    <w:p w14:paraId="217F69A8">
      <w:pPr>
        <w:pStyle w:val="2"/>
        <w:spacing w:before="1"/>
        <w:jc w:val="both"/>
      </w:pPr>
      <w:r>
        <w:rPr>
          <w:color w:val="231F20"/>
        </w:rPr>
        <w:t>Chapter III Expropriation Evaluation</w:t>
      </w:r>
    </w:p>
    <w:p w14:paraId="5014E770">
      <w:pPr>
        <w:pStyle w:val="3"/>
        <w:spacing w:before="1"/>
        <w:jc w:val="both"/>
        <w:rPr>
          <w:b/>
          <w:sz w:val="36"/>
        </w:rPr>
      </w:pPr>
    </w:p>
    <w:p w14:paraId="16DD3D92">
      <w:pPr>
        <w:pStyle w:val="3"/>
        <w:spacing w:line="340" w:lineRule="auto"/>
        <w:ind w:left="225" w:right="242" w:firstLine="481"/>
        <w:jc w:val="both"/>
      </w:pPr>
      <w:r>
        <w:rPr>
          <w:b/>
          <w:color w:val="231F20"/>
        </w:rPr>
        <w:t xml:space="preserve">Article 21. </w:t>
      </w:r>
      <w:r>
        <w:rPr>
          <w:color w:val="231F20"/>
        </w:rPr>
        <w:t>The value of the expropriated building shall be evaluated and determined by a real estate price evaluation institution. The time of value evaluation shall be the date when the building expropriation decision is announced.</w:t>
      </w:r>
    </w:p>
    <w:p w14:paraId="59F92A95">
      <w:pPr>
        <w:pStyle w:val="3"/>
        <w:spacing w:before="91" w:line="340" w:lineRule="auto"/>
        <w:ind w:left="225" w:right="236" w:firstLine="481"/>
        <w:jc w:val="both"/>
      </w:pPr>
      <w:r>
        <w:rPr>
          <w:b/>
          <w:color w:val="231F20"/>
        </w:rPr>
        <w:t xml:space="preserve">Article 22. </w:t>
      </w:r>
      <w:r>
        <w:rPr>
          <w:color w:val="231F20"/>
        </w:rPr>
        <w:t>After the scope of building expropriation is announced, the building expropriation department shall publicly announce the registration notice of expropriation evaluation on the website of the people's government or the department at the corresponding level. After the registration, the qualified real estate price evaluation institutions and their performance, the practice of the estimators and other information shall be disclosed to the expropriated persons, and the expropriated persons shall negotiate and select a real estate price evaluation institution within five days.</w:t>
      </w:r>
    </w:p>
    <w:p w14:paraId="0F58E415">
      <w:pPr>
        <w:pStyle w:val="3"/>
        <w:spacing w:before="8" w:line="340" w:lineRule="auto"/>
        <w:ind w:left="225" w:right="235" w:firstLine="481"/>
        <w:jc w:val="both"/>
      </w:pPr>
      <w:r>
        <w:rPr>
          <w:color w:val="231F20"/>
        </w:rPr>
        <w:t xml:space="preserve">If no consensus has been reached after consultation, the building expropriation department shall organize the expropriated persons to vote for the determination, or select randomly by drawing </w:t>
      </w:r>
      <w:r>
        <w:rPr>
          <w:color w:val="231F20"/>
          <w:spacing w:val="2"/>
        </w:rPr>
        <w:t xml:space="preserve">lots, rocking numbers, etc. When </w:t>
      </w:r>
      <w:r>
        <w:rPr>
          <w:color w:val="231F20"/>
        </w:rPr>
        <w:t xml:space="preserve">the </w:t>
      </w:r>
      <w:r>
        <w:rPr>
          <w:color w:val="231F20"/>
          <w:spacing w:val="2"/>
        </w:rPr>
        <w:t xml:space="preserve">voting method </w:t>
      </w:r>
      <w:r>
        <w:rPr>
          <w:color w:val="231F20"/>
        </w:rPr>
        <w:t xml:space="preserve">is </w:t>
      </w:r>
      <w:r>
        <w:rPr>
          <w:color w:val="231F20"/>
          <w:spacing w:val="2"/>
        </w:rPr>
        <w:t xml:space="preserve">adopted, </w:t>
      </w:r>
      <w:r>
        <w:rPr>
          <w:color w:val="231F20"/>
        </w:rPr>
        <w:t xml:space="preserve">the </w:t>
      </w:r>
      <w:r>
        <w:rPr>
          <w:color w:val="231F20"/>
          <w:spacing w:val="2"/>
        </w:rPr>
        <w:t xml:space="preserve">number </w:t>
      </w:r>
      <w:r>
        <w:rPr>
          <w:color w:val="231F20"/>
        </w:rPr>
        <w:t xml:space="preserve">of </w:t>
      </w:r>
      <w:r>
        <w:rPr>
          <w:color w:val="231F20"/>
          <w:spacing w:val="2"/>
        </w:rPr>
        <w:t xml:space="preserve">votes obtained  </w:t>
      </w:r>
      <w:r>
        <w:rPr>
          <w:color w:val="231F20"/>
        </w:rPr>
        <w:t xml:space="preserve">by the selected real </w:t>
      </w:r>
      <w:r>
        <w:rPr>
          <w:color w:val="231F20"/>
          <w:spacing w:val="2"/>
        </w:rPr>
        <w:t xml:space="preserve">estate </w:t>
      </w:r>
      <w:r>
        <w:rPr>
          <w:color w:val="231F20"/>
        </w:rPr>
        <w:t xml:space="preserve">price </w:t>
      </w:r>
      <w:r>
        <w:rPr>
          <w:color w:val="231F20"/>
          <w:spacing w:val="2"/>
        </w:rPr>
        <w:t xml:space="preserve">evaluation institution </w:t>
      </w:r>
      <w:r>
        <w:rPr>
          <w:color w:val="231F20"/>
        </w:rPr>
        <w:t xml:space="preserve">shall </w:t>
      </w:r>
      <w:r>
        <w:rPr>
          <w:color w:val="231F20"/>
          <w:spacing w:val="2"/>
        </w:rPr>
        <w:t xml:space="preserve">exceed </w:t>
      </w:r>
      <w:r>
        <w:rPr>
          <w:color w:val="231F20"/>
        </w:rPr>
        <w:t xml:space="preserve">50% of the </w:t>
      </w:r>
      <w:r>
        <w:rPr>
          <w:color w:val="231F20"/>
          <w:spacing w:val="2"/>
        </w:rPr>
        <w:t xml:space="preserve">total </w:t>
      </w:r>
      <w:r>
        <w:rPr>
          <w:color w:val="231F20"/>
        </w:rPr>
        <w:t xml:space="preserve">number of expropriated persons. When selecting by random means such as drawing lots and rocking numbers, </w:t>
      </w:r>
      <w:r>
        <w:rPr>
          <w:color w:val="231F20"/>
          <w:spacing w:val="4"/>
        </w:rPr>
        <w:t xml:space="preserve">representatives </w:t>
      </w:r>
      <w:r>
        <w:rPr>
          <w:color w:val="231F20"/>
          <w:spacing w:val="2"/>
        </w:rPr>
        <w:t xml:space="preserve">of </w:t>
      </w:r>
      <w:r>
        <w:rPr>
          <w:color w:val="231F20"/>
          <w:spacing w:val="3"/>
        </w:rPr>
        <w:t xml:space="preserve">the </w:t>
      </w:r>
      <w:r>
        <w:rPr>
          <w:color w:val="231F20"/>
          <w:spacing w:val="4"/>
        </w:rPr>
        <w:t xml:space="preserve">expropriated persons, representatives </w:t>
      </w:r>
      <w:r>
        <w:rPr>
          <w:color w:val="231F20"/>
          <w:spacing w:val="2"/>
        </w:rPr>
        <w:t xml:space="preserve">of </w:t>
      </w:r>
      <w:r>
        <w:rPr>
          <w:color w:val="231F20"/>
          <w:spacing w:val="4"/>
        </w:rPr>
        <w:t xml:space="preserve">grass-roots organizations </w:t>
      </w:r>
      <w:r>
        <w:rPr>
          <w:color w:val="231F20"/>
          <w:spacing w:val="5"/>
        </w:rPr>
        <w:t xml:space="preserve">and </w:t>
      </w:r>
      <w:r>
        <w:rPr>
          <w:color w:val="231F20"/>
        </w:rPr>
        <w:t>representatives of evaluation institutions shall be organized to participate, and notaries shall be invited for notarization and video recording throughout the course.</w:t>
      </w:r>
    </w:p>
    <w:p w14:paraId="439BB694">
      <w:pPr>
        <w:pStyle w:val="3"/>
        <w:spacing w:before="9" w:line="340" w:lineRule="auto"/>
        <w:ind w:left="225" w:right="238" w:firstLine="481"/>
        <w:jc w:val="both"/>
      </w:pPr>
      <w:r>
        <w:rPr>
          <w:color w:val="231F20"/>
        </w:rPr>
        <w:t>The building expropriation department shall not restrict the participation of real estate price evaluation institutions in building expropriation and evaluation activities in any way or for any reason.</w:t>
      </w:r>
    </w:p>
    <w:p w14:paraId="5FDEC50D">
      <w:pPr>
        <w:pStyle w:val="3"/>
        <w:spacing w:before="3" w:line="340" w:lineRule="auto"/>
        <w:ind w:left="225" w:right="236" w:firstLine="481"/>
        <w:jc w:val="both"/>
      </w:pPr>
      <w:r>
        <w:rPr>
          <w:color w:val="231F20"/>
        </w:rPr>
        <w:t>Generally, after the real estate price evaluation institution is selected or determined, the building expropriation department shall, as the principal, issue the power of attorney for building expropriation evaluation to the real estate price evaluation institution, and sign a contract for the building expropriation evaluation with it.</w:t>
      </w:r>
    </w:p>
    <w:p w14:paraId="2512DE90">
      <w:pPr>
        <w:pStyle w:val="3"/>
        <w:spacing w:before="4" w:line="340" w:lineRule="auto"/>
        <w:ind w:left="225" w:right="236" w:firstLine="481"/>
        <w:jc w:val="both"/>
      </w:pPr>
      <w:r>
        <w:rPr>
          <w:b/>
          <w:color w:val="231F20"/>
        </w:rPr>
        <w:t xml:space="preserve">Article 23. </w:t>
      </w:r>
      <w:r>
        <w:rPr>
          <w:color w:val="231F20"/>
        </w:rPr>
        <w:t>The competent department of building, urban and rural construction under provincial people's government and the departments of building, urban and rural construction under the people's government of cities (prefectures) shall organize the establishment of an expert committee on real estate price evaluation.</w:t>
      </w:r>
    </w:p>
    <w:p w14:paraId="5911C34B">
      <w:pPr>
        <w:pStyle w:val="3"/>
        <w:spacing w:before="5" w:line="340" w:lineRule="auto"/>
        <w:ind w:left="225" w:right="236" w:firstLine="481"/>
        <w:jc w:val="both"/>
      </w:pPr>
      <w:r>
        <w:rPr>
          <w:color w:val="231F20"/>
        </w:rPr>
        <w:t>The expert committee on real estate price evaluation shall consist of real estate estimators, asset appraisers and experts in price, real estate, land, urban planning, law, accounting, etc.</w:t>
      </w:r>
    </w:p>
    <w:p w14:paraId="4837A08D">
      <w:pPr>
        <w:pStyle w:val="3"/>
        <w:spacing w:before="2" w:line="340" w:lineRule="auto"/>
        <w:ind w:left="225" w:right="236" w:firstLine="481"/>
        <w:jc w:val="both"/>
      </w:pPr>
      <w:r>
        <w:rPr>
          <w:b/>
          <w:color w:val="231F20"/>
          <w:spacing w:val="3"/>
        </w:rPr>
        <w:t xml:space="preserve">Article </w:t>
      </w:r>
      <w:r>
        <w:rPr>
          <w:b/>
          <w:color w:val="231F20"/>
          <w:spacing w:val="2"/>
        </w:rPr>
        <w:t xml:space="preserve">24. </w:t>
      </w:r>
      <w:r>
        <w:rPr>
          <w:color w:val="231F20"/>
          <w:spacing w:val="2"/>
        </w:rPr>
        <w:t xml:space="preserve">The </w:t>
      </w:r>
      <w:r>
        <w:rPr>
          <w:color w:val="231F20"/>
          <w:spacing w:val="3"/>
        </w:rPr>
        <w:t xml:space="preserve">real estate price evaluation institution, </w:t>
      </w:r>
      <w:r>
        <w:rPr>
          <w:color w:val="231F20"/>
          <w:spacing w:val="2"/>
        </w:rPr>
        <w:t xml:space="preserve">the </w:t>
      </w:r>
      <w:r>
        <w:rPr>
          <w:color w:val="231F20"/>
          <w:spacing w:val="3"/>
        </w:rPr>
        <w:t xml:space="preserve">real estate appraiser </w:t>
      </w:r>
      <w:r>
        <w:rPr>
          <w:color w:val="231F20"/>
          <w:spacing w:val="2"/>
        </w:rPr>
        <w:t xml:space="preserve">and </w:t>
      </w:r>
      <w:r>
        <w:rPr>
          <w:color w:val="231F20"/>
          <w:spacing w:val="4"/>
        </w:rPr>
        <w:t xml:space="preserve">the </w:t>
      </w:r>
      <w:r>
        <w:rPr>
          <w:color w:val="231F20"/>
        </w:rPr>
        <w:t xml:space="preserve">members of expert committee on real estate price evaluation shall carry out the evaluation </w:t>
      </w:r>
      <w:r>
        <w:rPr>
          <w:color w:val="231F20"/>
          <w:spacing w:val="2"/>
        </w:rPr>
        <w:t xml:space="preserve">and </w:t>
      </w:r>
      <w:r>
        <w:rPr>
          <w:color w:val="231F20"/>
          <w:spacing w:val="5"/>
        </w:rPr>
        <w:t xml:space="preserve">appraisal </w:t>
      </w:r>
      <w:r>
        <w:rPr>
          <w:color w:val="231F20"/>
          <w:spacing w:val="3"/>
        </w:rPr>
        <w:t xml:space="preserve">of </w:t>
      </w:r>
      <w:r>
        <w:rPr>
          <w:color w:val="231F20"/>
          <w:spacing w:val="5"/>
        </w:rPr>
        <w:t xml:space="preserve">building expropriation </w:t>
      </w:r>
      <w:r>
        <w:rPr>
          <w:color w:val="231F20"/>
          <w:spacing w:val="4"/>
        </w:rPr>
        <w:t xml:space="preserve">independently, </w:t>
      </w:r>
      <w:r>
        <w:rPr>
          <w:color w:val="231F20"/>
          <w:spacing w:val="5"/>
        </w:rPr>
        <w:t xml:space="preserve">objectively </w:t>
      </w:r>
      <w:r>
        <w:rPr>
          <w:color w:val="231F20"/>
          <w:spacing w:val="4"/>
        </w:rPr>
        <w:t xml:space="preserve">and impartially, and shall </w:t>
      </w:r>
      <w:r>
        <w:rPr>
          <w:color w:val="231F20"/>
          <w:spacing w:val="6"/>
        </w:rPr>
        <w:t>be</w:t>
      </w:r>
      <w:r>
        <w:rPr>
          <w:color w:val="231F20"/>
          <w:spacing w:val="64"/>
        </w:rPr>
        <w:t xml:space="preserve"> </w:t>
      </w:r>
      <w:r>
        <w:rPr>
          <w:color w:val="231F20"/>
        </w:rPr>
        <w:t>responsible for the evaluation and appraisal opinions issued.</w:t>
      </w:r>
    </w:p>
    <w:p w14:paraId="73DD43E7">
      <w:pPr>
        <w:pStyle w:val="3"/>
        <w:spacing w:before="4"/>
        <w:ind w:left="133" w:right="228"/>
        <w:jc w:val="both"/>
      </w:pPr>
      <w:r>
        <w:rPr>
          <w:color w:val="231F20"/>
          <w:spacing w:val="4"/>
        </w:rPr>
        <w:t>No</w:t>
      </w:r>
      <w:r>
        <w:rPr>
          <w:color w:val="231F20"/>
          <w:spacing w:val="37"/>
        </w:rPr>
        <w:t xml:space="preserve"> </w:t>
      </w:r>
      <w:r>
        <w:rPr>
          <w:color w:val="231F20"/>
          <w:spacing w:val="7"/>
        </w:rPr>
        <w:t>entity</w:t>
      </w:r>
      <w:r>
        <w:rPr>
          <w:color w:val="231F20"/>
          <w:spacing w:val="37"/>
        </w:rPr>
        <w:t xml:space="preserve"> </w:t>
      </w:r>
      <w:r>
        <w:rPr>
          <w:color w:val="231F20"/>
          <w:spacing w:val="4"/>
        </w:rPr>
        <w:t>or</w:t>
      </w:r>
      <w:r>
        <w:rPr>
          <w:color w:val="231F20"/>
          <w:spacing w:val="38"/>
        </w:rPr>
        <w:t xml:space="preserve"> </w:t>
      </w:r>
      <w:r>
        <w:rPr>
          <w:color w:val="231F20"/>
          <w:spacing w:val="8"/>
        </w:rPr>
        <w:t>individual</w:t>
      </w:r>
      <w:r>
        <w:rPr>
          <w:color w:val="231F20"/>
          <w:spacing w:val="37"/>
        </w:rPr>
        <w:t xml:space="preserve"> </w:t>
      </w:r>
      <w:r>
        <w:rPr>
          <w:color w:val="231F20"/>
          <w:spacing w:val="6"/>
        </w:rPr>
        <w:t>may</w:t>
      </w:r>
      <w:r>
        <w:rPr>
          <w:color w:val="231F20"/>
          <w:spacing w:val="38"/>
        </w:rPr>
        <w:t xml:space="preserve"> </w:t>
      </w:r>
      <w:r>
        <w:rPr>
          <w:color w:val="231F20"/>
          <w:spacing w:val="8"/>
        </w:rPr>
        <w:t>interfere</w:t>
      </w:r>
      <w:r>
        <w:rPr>
          <w:color w:val="231F20"/>
          <w:spacing w:val="37"/>
        </w:rPr>
        <w:t xml:space="preserve"> </w:t>
      </w:r>
      <w:r>
        <w:rPr>
          <w:color w:val="231F20"/>
          <w:spacing w:val="6"/>
        </w:rPr>
        <w:t>with</w:t>
      </w:r>
      <w:r>
        <w:rPr>
          <w:color w:val="231F20"/>
          <w:spacing w:val="37"/>
        </w:rPr>
        <w:t xml:space="preserve"> </w:t>
      </w:r>
      <w:r>
        <w:rPr>
          <w:color w:val="231F20"/>
          <w:spacing w:val="6"/>
        </w:rPr>
        <w:t>the</w:t>
      </w:r>
      <w:r>
        <w:rPr>
          <w:color w:val="231F20"/>
          <w:spacing w:val="38"/>
        </w:rPr>
        <w:t xml:space="preserve"> </w:t>
      </w:r>
      <w:r>
        <w:rPr>
          <w:color w:val="231F20"/>
          <w:spacing w:val="8"/>
        </w:rPr>
        <w:t>evaluation</w:t>
      </w:r>
      <w:r>
        <w:rPr>
          <w:color w:val="231F20"/>
          <w:spacing w:val="37"/>
        </w:rPr>
        <w:t xml:space="preserve"> </w:t>
      </w:r>
      <w:r>
        <w:rPr>
          <w:color w:val="231F20"/>
          <w:spacing w:val="6"/>
        </w:rPr>
        <w:t>and</w:t>
      </w:r>
      <w:r>
        <w:rPr>
          <w:color w:val="231F20"/>
          <w:spacing w:val="38"/>
        </w:rPr>
        <w:t xml:space="preserve"> </w:t>
      </w:r>
      <w:r>
        <w:rPr>
          <w:color w:val="231F20"/>
          <w:spacing w:val="8"/>
        </w:rPr>
        <w:t>appraisal</w:t>
      </w:r>
      <w:r>
        <w:rPr>
          <w:color w:val="231F20"/>
          <w:spacing w:val="37"/>
        </w:rPr>
        <w:t xml:space="preserve"> </w:t>
      </w:r>
      <w:r>
        <w:rPr>
          <w:color w:val="231F20"/>
          <w:spacing w:val="4"/>
        </w:rPr>
        <w:t>of</w:t>
      </w:r>
      <w:r>
        <w:rPr>
          <w:color w:val="231F20"/>
          <w:spacing w:val="38"/>
        </w:rPr>
        <w:t xml:space="preserve"> </w:t>
      </w:r>
      <w:r>
        <w:rPr>
          <w:color w:val="231F20"/>
          <w:spacing w:val="9"/>
        </w:rPr>
        <w:t>building</w:t>
      </w:r>
    </w:p>
    <w:p w14:paraId="50D54A24">
      <w:pPr>
        <w:pStyle w:val="3"/>
        <w:spacing w:before="91"/>
        <w:ind w:left="225"/>
        <w:jc w:val="both"/>
      </w:pPr>
      <w:r>
        <w:rPr>
          <w:color w:val="231F20"/>
        </w:rPr>
        <w:t>expropriation.</w:t>
      </w:r>
      <w:r>
        <w:rPr>
          <w:color w:val="231F20"/>
          <w:spacing w:val="13"/>
        </w:rPr>
        <w:t xml:space="preserve"> </w:t>
      </w:r>
      <w:r>
        <w:rPr>
          <w:color w:val="231F20"/>
        </w:rPr>
        <w:t>If</w:t>
      </w:r>
      <w:r>
        <w:rPr>
          <w:color w:val="231F20"/>
          <w:spacing w:val="13"/>
        </w:rPr>
        <w:t xml:space="preserve"> </w:t>
      </w:r>
      <w:r>
        <w:rPr>
          <w:color w:val="231F20"/>
        </w:rPr>
        <w:t>a</w:t>
      </w:r>
      <w:r>
        <w:rPr>
          <w:color w:val="231F20"/>
          <w:spacing w:val="13"/>
        </w:rPr>
        <w:t xml:space="preserve"> </w:t>
      </w:r>
      <w:r>
        <w:rPr>
          <w:color w:val="231F20"/>
        </w:rPr>
        <w:t>party</w:t>
      </w:r>
      <w:r>
        <w:rPr>
          <w:color w:val="231F20"/>
          <w:spacing w:val="14"/>
        </w:rPr>
        <w:t xml:space="preserve"> </w:t>
      </w:r>
      <w:r>
        <w:rPr>
          <w:color w:val="231F20"/>
        </w:rPr>
        <w:t>concerned</w:t>
      </w:r>
      <w:r>
        <w:rPr>
          <w:color w:val="231F20"/>
          <w:spacing w:val="14"/>
        </w:rPr>
        <w:t xml:space="preserve"> </w:t>
      </w:r>
      <w:r>
        <w:rPr>
          <w:color w:val="231F20"/>
        </w:rPr>
        <w:t>has</w:t>
      </w:r>
      <w:r>
        <w:rPr>
          <w:color w:val="231F20"/>
          <w:spacing w:val="13"/>
        </w:rPr>
        <w:t xml:space="preserve"> </w:t>
      </w:r>
      <w:r>
        <w:rPr>
          <w:color w:val="231F20"/>
        </w:rPr>
        <w:t>an</w:t>
      </w:r>
      <w:r>
        <w:rPr>
          <w:color w:val="231F20"/>
          <w:spacing w:val="14"/>
        </w:rPr>
        <w:t xml:space="preserve"> </w:t>
      </w:r>
      <w:r>
        <w:rPr>
          <w:color w:val="231F20"/>
        </w:rPr>
        <w:t>interest</w:t>
      </w:r>
      <w:r>
        <w:rPr>
          <w:color w:val="231F20"/>
          <w:spacing w:val="13"/>
        </w:rPr>
        <w:t xml:space="preserve"> </w:t>
      </w:r>
      <w:r>
        <w:rPr>
          <w:color w:val="231F20"/>
        </w:rPr>
        <w:t>in</w:t>
      </w:r>
      <w:r>
        <w:rPr>
          <w:color w:val="231F20"/>
          <w:spacing w:val="14"/>
        </w:rPr>
        <w:t xml:space="preserve"> </w:t>
      </w:r>
      <w:r>
        <w:rPr>
          <w:color w:val="231F20"/>
        </w:rPr>
        <w:t>the</w:t>
      </w:r>
      <w:r>
        <w:rPr>
          <w:color w:val="231F20"/>
          <w:spacing w:val="14"/>
        </w:rPr>
        <w:t xml:space="preserve"> </w:t>
      </w:r>
      <w:r>
        <w:rPr>
          <w:color w:val="231F20"/>
        </w:rPr>
        <w:t>building</w:t>
      </w:r>
      <w:r>
        <w:rPr>
          <w:color w:val="231F20"/>
          <w:spacing w:val="13"/>
        </w:rPr>
        <w:t xml:space="preserve"> </w:t>
      </w:r>
      <w:r>
        <w:rPr>
          <w:color w:val="231F20"/>
        </w:rPr>
        <w:t>expropriation,</w:t>
      </w:r>
      <w:r>
        <w:rPr>
          <w:color w:val="231F20"/>
          <w:spacing w:val="14"/>
        </w:rPr>
        <w:t xml:space="preserve"> </w:t>
      </w:r>
      <w:r>
        <w:rPr>
          <w:color w:val="231F20"/>
        </w:rPr>
        <w:t>the</w:t>
      </w:r>
      <w:r>
        <w:rPr>
          <w:color w:val="231F20"/>
          <w:spacing w:val="13"/>
        </w:rPr>
        <w:t xml:space="preserve"> </w:t>
      </w:r>
      <w:r>
        <w:rPr>
          <w:color w:val="231F20"/>
        </w:rPr>
        <w:t>party</w:t>
      </w:r>
      <w:r>
        <w:rPr>
          <w:color w:val="231F20"/>
          <w:spacing w:val="14"/>
        </w:rPr>
        <w:t xml:space="preserve"> </w:t>
      </w:r>
      <w:r>
        <w:rPr>
          <w:color w:val="231F20"/>
        </w:rPr>
        <w:t>shall</w:t>
      </w:r>
      <w:r>
        <w:rPr>
          <w:color w:val="231F20"/>
          <w:spacing w:val="14"/>
        </w:rPr>
        <w:t xml:space="preserve"> </w:t>
      </w:r>
      <w:r>
        <w:rPr>
          <w:color w:val="231F20"/>
        </w:rPr>
        <w:t>be</w:t>
      </w:r>
      <w:r>
        <w:rPr>
          <w:rFonts w:hint="eastAsia" w:eastAsia="宋体"/>
          <w:color w:val="231F20"/>
          <w:lang w:val="en-US" w:eastAsia="zh-CN"/>
        </w:rPr>
        <w:t xml:space="preserve"> </w:t>
      </w:r>
      <w:r>
        <w:rPr>
          <w:color w:val="231F20"/>
        </w:rPr>
        <w:t>withdrawn.</w:t>
      </w:r>
    </w:p>
    <w:p w14:paraId="6B36E685">
      <w:pPr>
        <w:pStyle w:val="3"/>
        <w:spacing w:before="113" w:line="352" w:lineRule="auto"/>
        <w:ind w:left="225" w:right="238" w:firstLine="481"/>
        <w:jc w:val="both"/>
      </w:pPr>
      <w:r>
        <w:rPr>
          <w:b/>
          <w:color w:val="231F20"/>
        </w:rPr>
        <w:t xml:space="preserve">Article 25. </w:t>
      </w:r>
      <w:r>
        <w:rPr>
          <w:color w:val="231F20"/>
        </w:rPr>
        <w:t>The selected real estate price evaluation institution shall assign at least two registered real estate estimators for the building expropriation evaluation project, who shall not be replaced without special reasons.</w:t>
      </w:r>
    </w:p>
    <w:p w14:paraId="34ADB7C2">
      <w:pPr>
        <w:pStyle w:val="3"/>
        <w:spacing w:line="352" w:lineRule="auto"/>
        <w:ind w:left="225" w:right="242" w:firstLine="481"/>
        <w:jc w:val="both"/>
      </w:pPr>
      <w:r>
        <w:rPr>
          <w:color w:val="231F20"/>
        </w:rPr>
        <w:t>The registered real estate estimator shall carry out field survey on the expropriated building, investigate the condition of the expropriated building, take photos reflecting the internal and external conditions of the expropriated building, make a good record of the field survey, and keep it properly.</w:t>
      </w:r>
    </w:p>
    <w:p w14:paraId="63443039">
      <w:pPr>
        <w:pStyle w:val="3"/>
        <w:spacing w:line="352" w:lineRule="auto"/>
        <w:ind w:left="225" w:right="238" w:firstLine="481"/>
        <w:jc w:val="both"/>
      </w:pPr>
      <w:r>
        <w:rPr>
          <w:color w:val="231F20"/>
        </w:rPr>
        <w:t>The building expropriation department, the expropriated person and the registered real estate estimator shall sign or stamp to confirm the field survey record. If the expropriated person refuses to sign or stamp on the field survey record, it shall be witnessed by the building expropriation department, the registered real estate estimator and the sub-district (community) office staff without interest, and the relevant information shall be explained in the evaluation</w:t>
      </w:r>
      <w:r>
        <w:rPr>
          <w:color w:val="231F20"/>
          <w:spacing w:val="-3"/>
        </w:rPr>
        <w:t xml:space="preserve"> </w:t>
      </w:r>
      <w:r>
        <w:rPr>
          <w:color w:val="231F20"/>
        </w:rPr>
        <w:t>report.</w:t>
      </w:r>
    </w:p>
    <w:p w14:paraId="52AA8EE9">
      <w:pPr>
        <w:pStyle w:val="3"/>
        <w:spacing w:line="352" w:lineRule="auto"/>
        <w:ind w:left="225" w:right="242" w:firstLine="481"/>
        <w:jc w:val="both"/>
      </w:pPr>
      <w:r>
        <w:rPr>
          <w:b/>
          <w:color w:val="231F20"/>
        </w:rPr>
        <w:t xml:space="preserve">Article 26. </w:t>
      </w:r>
      <w:r>
        <w:rPr>
          <w:color w:val="231F20"/>
        </w:rPr>
        <w:t>The building expropriation department shall disclose the preliminary evaluation results of the households to the expropriated persons within the scope of the expropriation. During the disclosure period, the real estate price evaluation institution shall arrange the registered real estate estimator to explain the preliminary evaluation results of the households on the spot. Any error in the preliminary evaluation results of households shall be amended by the real estate price evaluation institution.</w:t>
      </w:r>
    </w:p>
    <w:p w14:paraId="6138A46C">
      <w:pPr>
        <w:pStyle w:val="3"/>
        <w:spacing w:line="352" w:lineRule="auto"/>
        <w:ind w:left="225" w:right="239" w:firstLine="481"/>
        <w:jc w:val="both"/>
      </w:pPr>
      <w:r>
        <w:rPr>
          <w:color w:val="231F20"/>
        </w:rPr>
        <w:t xml:space="preserve">Upon the expiration of disclosure, the real estate price evaluation institution shall submit the overall evaluation report and the households evaluation report of the expropriated building to the building expropriation department, and the building expropriation department shall transfer </w:t>
      </w:r>
      <w:r>
        <w:rPr>
          <w:color w:val="231F20"/>
          <w:spacing w:val="2"/>
        </w:rPr>
        <w:t>the</w:t>
      </w:r>
      <w:r>
        <w:rPr>
          <w:color w:val="231F20"/>
          <w:spacing w:val="56"/>
        </w:rPr>
        <w:t xml:space="preserve"> </w:t>
      </w:r>
      <w:r>
        <w:rPr>
          <w:color w:val="231F20"/>
        </w:rPr>
        <w:t>household evaluation report to the expropriated person.</w:t>
      </w:r>
    </w:p>
    <w:p w14:paraId="55BB54CD">
      <w:pPr>
        <w:pStyle w:val="3"/>
        <w:spacing w:line="352" w:lineRule="auto"/>
        <w:ind w:left="225" w:right="240" w:firstLine="481"/>
        <w:jc w:val="both"/>
      </w:pPr>
      <w:r>
        <w:rPr>
          <w:b/>
          <w:color w:val="231F20"/>
        </w:rPr>
        <w:t xml:space="preserve">Article 27. </w:t>
      </w:r>
      <w:r>
        <w:rPr>
          <w:color w:val="231F20"/>
        </w:rPr>
        <w:t>The expropriation evaluation report shall conform to the provisions of the Real Estate Valuation Standard and the Measures for Evaluation of Building Expropriation on State- owned Land. The overall evaluation report and the households evaluation report shall be signed by at least two registered real estate estimators responsible for the building expropriation evaluation project and affixed with the official seal of the real estate price evaluation institution. The signature shall not be replaced by a seal.</w:t>
      </w:r>
    </w:p>
    <w:p w14:paraId="5775C206">
      <w:pPr>
        <w:pStyle w:val="3"/>
        <w:spacing w:line="352" w:lineRule="auto"/>
        <w:ind w:left="225" w:right="239" w:firstLine="481"/>
        <w:jc w:val="both"/>
      </w:pPr>
      <w:r>
        <w:rPr>
          <w:b/>
          <w:color w:val="231F20"/>
        </w:rPr>
        <w:t xml:space="preserve">Article 28. </w:t>
      </w:r>
      <w:r>
        <w:rPr>
          <w:color w:val="231F20"/>
        </w:rPr>
        <w:t>Where the expropriated person or the building expropriation department objects  to the evaluation results, he shall, within 10 days from the date of receipt of the evaluation report, apply to the real estate price evaluation institution for review and evaluation. Where there is any objection</w:t>
      </w:r>
      <w:r>
        <w:rPr>
          <w:color w:val="231F20"/>
          <w:spacing w:val="21"/>
        </w:rPr>
        <w:t xml:space="preserve"> </w:t>
      </w:r>
      <w:r>
        <w:rPr>
          <w:color w:val="231F20"/>
        </w:rPr>
        <w:t>to</w:t>
      </w:r>
      <w:r>
        <w:rPr>
          <w:color w:val="231F20"/>
          <w:spacing w:val="21"/>
        </w:rPr>
        <w:t xml:space="preserve"> </w:t>
      </w:r>
      <w:r>
        <w:rPr>
          <w:color w:val="231F20"/>
        </w:rPr>
        <w:t>the</w:t>
      </w:r>
      <w:r>
        <w:rPr>
          <w:color w:val="231F20"/>
          <w:spacing w:val="19"/>
        </w:rPr>
        <w:t xml:space="preserve"> </w:t>
      </w:r>
      <w:r>
        <w:rPr>
          <w:color w:val="231F20"/>
        </w:rPr>
        <w:t>result</w:t>
      </w:r>
      <w:r>
        <w:rPr>
          <w:color w:val="231F20"/>
          <w:spacing w:val="22"/>
        </w:rPr>
        <w:t xml:space="preserve"> </w:t>
      </w:r>
      <w:r>
        <w:rPr>
          <w:color w:val="231F20"/>
        </w:rPr>
        <w:t>of</w:t>
      </w:r>
      <w:r>
        <w:rPr>
          <w:color w:val="231F20"/>
          <w:spacing w:val="21"/>
        </w:rPr>
        <w:t xml:space="preserve"> </w:t>
      </w:r>
      <w:r>
        <w:rPr>
          <w:color w:val="231F20"/>
        </w:rPr>
        <w:t>the</w:t>
      </w:r>
      <w:r>
        <w:rPr>
          <w:color w:val="231F20"/>
          <w:spacing w:val="21"/>
        </w:rPr>
        <w:t xml:space="preserve"> </w:t>
      </w:r>
      <w:r>
        <w:rPr>
          <w:color w:val="231F20"/>
        </w:rPr>
        <w:t>review,</w:t>
      </w:r>
      <w:r>
        <w:rPr>
          <w:color w:val="231F20"/>
          <w:spacing w:val="21"/>
        </w:rPr>
        <w:t xml:space="preserve"> </w:t>
      </w:r>
      <w:r>
        <w:rPr>
          <w:color w:val="231F20"/>
        </w:rPr>
        <w:t>it</w:t>
      </w:r>
      <w:r>
        <w:rPr>
          <w:color w:val="231F20"/>
          <w:spacing w:val="21"/>
        </w:rPr>
        <w:t xml:space="preserve"> </w:t>
      </w:r>
      <w:r>
        <w:rPr>
          <w:color w:val="231F20"/>
        </w:rPr>
        <w:t>shall,</w:t>
      </w:r>
      <w:r>
        <w:rPr>
          <w:color w:val="231F20"/>
          <w:spacing w:val="21"/>
        </w:rPr>
        <w:t xml:space="preserve"> </w:t>
      </w:r>
      <w:r>
        <w:rPr>
          <w:color w:val="231F20"/>
        </w:rPr>
        <w:t>within</w:t>
      </w:r>
      <w:r>
        <w:rPr>
          <w:color w:val="231F20"/>
          <w:spacing w:val="21"/>
        </w:rPr>
        <w:t xml:space="preserve"> </w:t>
      </w:r>
      <w:r>
        <w:rPr>
          <w:color w:val="231F20"/>
        </w:rPr>
        <w:t>10</w:t>
      </w:r>
      <w:r>
        <w:rPr>
          <w:color w:val="231F20"/>
          <w:spacing w:val="21"/>
        </w:rPr>
        <w:t xml:space="preserve"> </w:t>
      </w:r>
      <w:r>
        <w:rPr>
          <w:color w:val="231F20"/>
        </w:rPr>
        <w:t>days</w:t>
      </w:r>
      <w:r>
        <w:rPr>
          <w:color w:val="231F20"/>
          <w:spacing w:val="21"/>
        </w:rPr>
        <w:t xml:space="preserve"> </w:t>
      </w:r>
      <w:r>
        <w:rPr>
          <w:color w:val="231F20"/>
        </w:rPr>
        <w:t>from</w:t>
      </w:r>
      <w:r>
        <w:rPr>
          <w:color w:val="231F20"/>
          <w:spacing w:val="21"/>
        </w:rPr>
        <w:t xml:space="preserve"> </w:t>
      </w:r>
      <w:r>
        <w:rPr>
          <w:color w:val="231F20"/>
        </w:rPr>
        <w:t>the</w:t>
      </w:r>
      <w:r>
        <w:rPr>
          <w:color w:val="231F20"/>
          <w:spacing w:val="21"/>
        </w:rPr>
        <w:t xml:space="preserve"> </w:t>
      </w:r>
      <w:r>
        <w:rPr>
          <w:color w:val="231F20"/>
        </w:rPr>
        <w:t>receipt</w:t>
      </w:r>
      <w:r>
        <w:rPr>
          <w:color w:val="231F20"/>
          <w:spacing w:val="21"/>
        </w:rPr>
        <w:t xml:space="preserve"> </w:t>
      </w:r>
      <w:r>
        <w:rPr>
          <w:color w:val="231F20"/>
        </w:rPr>
        <w:t>of</w:t>
      </w:r>
      <w:r>
        <w:rPr>
          <w:color w:val="231F20"/>
          <w:spacing w:val="21"/>
        </w:rPr>
        <w:t xml:space="preserve"> </w:t>
      </w:r>
      <w:r>
        <w:rPr>
          <w:color w:val="231F20"/>
        </w:rPr>
        <w:t>the</w:t>
      </w:r>
      <w:r>
        <w:rPr>
          <w:color w:val="231F20"/>
          <w:spacing w:val="21"/>
        </w:rPr>
        <w:t xml:space="preserve"> </w:t>
      </w:r>
      <w:r>
        <w:rPr>
          <w:color w:val="231F20"/>
        </w:rPr>
        <w:t>result</w:t>
      </w:r>
      <w:r>
        <w:rPr>
          <w:color w:val="231F20"/>
          <w:spacing w:val="21"/>
        </w:rPr>
        <w:t xml:space="preserve"> </w:t>
      </w:r>
      <w:r>
        <w:rPr>
          <w:color w:val="231F20"/>
        </w:rPr>
        <w:t>of</w:t>
      </w:r>
      <w:r>
        <w:rPr>
          <w:color w:val="231F20"/>
          <w:spacing w:val="21"/>
        </w:rPr>
        <w:t xml:space="preserve"> </w:t>
      </w:r>
      <w:r>
        <w:rPr>
          <w:color w:val="231F20"/>
        </w:rPr>
        <w:t>the</w:t>
      </w:r>
    </w:p>
    <w:p w14:paraId="03947BF0">
      <w:pPr>
        <w:pStyle w:val="3"/>
        <w:spacing w:before="91" w:line="364" w:lineRule="auto"/>
        <w:ind w:left="225" w:right="242"/>
        <w:jc w:val="both"/>
      </w:pPr>
      <w:r>
        <w:rPr>
          <w:color w:val="231F20"/>
        </w:rPr>
        <w:t>review and evaluation, apply to the expert committee on real estate price evaluation in the place where the expropriated building is located for appraisal.</w:t>
      </w:r>
    </w:p>
    <w:p w14:paraId="0C0FE65E">
      <w:pPr>
        <w:pStyle w:val="3"/>
        <w:spacing w:line="364" w:lineRule="auto"/>
        <w:ind w:left="225" w:right="234" w:firstLine="481"/>
        <w:jc w:val="both"/>
      </w:pPr>
      <w:r>
        <w:rPr>
          <w:color w:val="231F20"/>
        </w:rPr>
        <w:t xml:space="preserve">The real estate price evaluation institution or expert committee shall complete the review or appraisal work within 10 days from the date of receipt of the application. If the original evaluation </w:t>
      </w:r>
      <w:r>
        <w:rPr>
          <w:color w:val="231F20"/>
          <w:spacing w:val="6"/>
        </w:rPr>
        <w:t xml:space="preserve">results </w:t>
      </w:r>
      <w:r>
        <w:rPr>
          <w:color w:val="231F20"/>
          <w:spacing w:val="4"/>
        </w:rPr>
        <w:t xml:space="preserve">are </w:t>
      </w:r>
      <w:r>
        <w:rPr>
          <w:color w:val="231F20"/>
          <w:spacing w:val="6"/>
        </w:rPr>
        <w:t xml:space="preserve">amended </w:t>
      </w:r>
      <w:r>
        <w:rPr>
          <w:color w:val="231F20"/>
          <w:spacing w:val="5"/>
        </w:rPr>
        <w:t xml:space="preserve">upon review </w:t>
      </w:r>
      <w:r>
        <w:rPr>
          <w:color w:val="231F20"/>
          <w:spacing w:val="3"/>
        </w:rPr>
        <w:t xml:space="preserve">or </w:t>
      </w:r>
      <w:r>
        <w:rPr>
          <w:color w:val="231F20"/>
          <w:spacing w:val="6"/>
        </w:rPr>
        <w:t xml:space="preserve">technical problems </w:t>
      </w:r>
      <w:r>
        <w:rPr>
          <w:color w:val="231F20"/>
          <w:spacing w:val="4"/>
        </w:rPr>
        <w:t xml:space="preserve">are </w:t>
      </w:r>
      <w:r>
        <w:rPr>
          <w:color w:val="231F20"/>
          <w:spacing w:val="6"/>
        </w:rPr>
        <w:t xml:space="preserve">identified, </w:t>
      </w:r>
      <w:r>
        <w:rPr>
          <w:color w:val="231F20"/>
          <w:spacing w:val="4"/>
        </w:rPr>
        <w:t xml:space="preserve">the </w:t>
      </w:r>
      <w:r>
        <w:rPr>
          <w:color w:val="231F20"/>
          <w:spacing w:val="5"/>
        </w:rPr>
        <w:t xml:space="preserve">real estate </w:t>
      </w:r>
      <w:r>
        <w:rPr>
          <w:color w:val="231F20"/>
          <w:spacing w:val="7"/>
        </w:rPr>
        <w:t>price</w:t>
      </w:r>
      <w:r>
        <w:rPr>
          <w:color w:val="231F20"/>
          <w:spacing w:val="66"/>
        </w:rPr>
        <w:t xml:space="preserve"> </w:t>
      </w:r>
      <w:r>
        <w:rPr>
          <w:color w:val="231F20"/>
        </w:rPr>
        <w:t>evaluation institution shall reissue an evaluation report within 10 days.</w:t>
      </w:r>
    </w:p>
    <w:p w14:paraId="09E5E1C4">
      <w:pPr>
        <w:pStyle w:val="3"/>
        <w:spacing w:line="364" w:lineRule="auto"/>
        <w:ind w:left="225" w:right="240" w:firstLine="481"/>
        <w:jc w:val="both"/>
      </w:pPr>
      <w:r>
        <w:rPr>
          <w:b/>
          <w:color w:val="231F20"/>
        </w:rPr>
        <w:t xml:space="preserve">Article 29. </w:t>
      </w:r>
      <w:r>
        <w:rPr>
          <w:color w:val="231F20"/>
        </w:rPr>
        <w:t>The department of building, urban and rural areas construction shall, in accordance with the relevant laws, regulations and the provisions of these Measures, supervise and inspect the building expropriation evaluation activities of the real estate price evaluation institution, and make the illegal and violating acts found and the handling situations public to the society in accordance with law.</w:t>
      </w:r>
    </w:p>
    <w:p w14:paraId="0A66C4A2">
      <w:pPr>
        <w:pStyle w:val="3"/>
        <w:spacing w:line="364" w:lineRule="auto"/>
        <w:ind w:left="225" w:right="240" w:firstLine="481"/>
        <w:jc w:val="both"/>
      </w:pPr>
      <w:r>
        <w:rPr>
          <w:color w:val="231F20"/>
        </w:rPr>
        <w:t>The building expropriation department shall strengthen the supervision and inspection on the contract performance for expropriation evaluation. If the real estate price appraisal institution or the real estate estimator fails to investigate the field, make the evaluation report, answer questions on the spot, and review the evaluation as required, it shall urge such party to perform the contract and abide by the relevant laws and regulations.</w:t>
      </w:r>
    </w:p>
    <w:p w14:paraId="47C619CE">
      <w:pPr>
        <w:pStyle w:val="3"/>
        <w:spacing w:before="1"/>
        <w:jc w:val="both"/>
        <w:rPr>
          <w:sz w:val="30"/>
        </w:rPr>
      </w:pPr>
    </w:p>
    <w:p w14:paraId="3CFFA5D3">
      <w:pPr>
        <w:pStyle w:val="2"/>
        <w:jc w:val="center"/>
      </w:pPr>
      <w:r>
        <w:rPr>
          <w:color w:val="231F20"/>
        </w:rPr>
        <w:t>Chapter IV Expropriation Compensation</w:t>
      </w:r>
    </w:p>
    <w:p w14:paraId="1E123BD5">
      <w:pPr>
        <w:pStyle w:val="3"/>
        <w:jc w:val="both"/>
        <w:rPr>
          <w:b/>
          <w:sz w:val="26"/>
        </w:rPr>
      </w:pPr>
    </w:p>
    <w:p w14:paraId="77228501">
      <w:pPr>
        <w:pStyle w:val="3"/>
        <w:spacing w:before="161"/>
        <w:ind w:left="707"/>
        <w:jc w:val="both"/>
      </w:pPr>
      <w:r>
        <w:rPr>
          <w:b/>
          <w:color w:val="231F20"/>
        </w:rPr>
        <w:t xml:space="preserve">Article 30. </w:t>
      </w:r>
      <w:r>
        <w:rPr>
          <w:color w:val="231F20"/>
        </w:rPr>
        <w:t>Compensation shall be made before relocation in building expropriation.</w:t>
      </w:r>
    </w:p>
    <w:p w14:paraId="06B56FCC">
      <w:pPr>
        <w:pStyle w:val="3"/>
        <w:spacing w:before="124"/>
        <w:ind w:left="707"/>
        <w:jc w:val="both"/>
      </w:pPr>
      <w:r>
        <w:rPr>
          <w:color w:val="231F20"/>
        </w:rPr>
        <w:t>The compensation granted to an owner by the people's government at the city or county level</w:t>
      </w:r>
    </w:p>
    <w:p w14:paraId="7EA91B7A">
      <w:pPr>
        <w:pStyle w:val="3"/>
        <w:spacing w:before="125"/>
        <w:ind w:left="225"/>
        <w:jc w:val="both"/>
      </w:pPr>
      <w:r>
        <w:rPr>
          <w:color w:val="231F20"/>
        </w:rPr>
        <w:t>which makes a building expropriation decision shall include:</w:t>
      </w:r>
    </w:p>
    <w:p w14:paraId="7E9A22AA">
      <w:pPr>
        <w:pStyle w:val="6"/>
        <w:numPr>
          <w:ilvl w:val="0"/>
          <w:numId w:val="2"/>
        </w:numPr>
        <w:tabs>
          <w:tab w:val="left" w:pos="1002"/>
        </w:tabs>
        <w:spacing w:before="124" w:after="0" w:line="240" w:lineRule="auto"/>
        <w:ind w:left="1001" w:right="0" w:hanging="295"/>
        <w:jc w:val="both"/>
        <w:rPr>
          <w:sz w:val="21"/>
        </w:rPr>
      </w:pPr>
      <w:r>
        <w:rPr>
          <w:color w:val="231F20"/>
          <w:sz w:val="21"/>
        </w:rPr>
        <w:t>The compensation for the value of the building expropriated;</w:t>
      </w:r>
    </w:p>
    <w:p w14:paraId="2D59E8DC">
      <w:pPr>
        <w:pStyle w:val="6"/>
        <w:numPr>
          <w:ilvl w:val="0"/>
          <w:numId w:val="2"/>
        </w:numPr>
        <w:tabs>
          <w:tab w:val="left" w:pos="1019"/>
        </w:tabs>
        <w:spacing w:before="125" w:after="0" w:line="240" w:lineRule="auto"/>
        <w:ind w:left="1018" w:right="0" w:hanging="312"/>
        <w:jc w:val="both"/>
        <w:rPr>
          <w:sz w:val="21"/>
        </w:rPr>
      </w:pPr>
      <w:r>
        <w:rPr>
          <w:color w:val="231F20"/>
          <w:sz w:val="21"/>
        </w:rPr>
        <w:t>The</w:t>
      </w:r>
      <w:r>
        <w:rPr>
          <w:color w:val="231F20"/>
          <w:spacing w:val="16"/>
          <w:sz w:val="21"/>
        </w:rPr>
        <w:t xml:space="preserve"> </w:t>
      </w:r>
      <w:r>
        <w:rPr>
          <w:color w:val="231F20"/>
          <w:sz w:val="21"/>
        </w:rPr>
        <w:t>compensation</w:t>
      </w:r>
      <w:r>
        <w:rPr>
          <w:color w:val="231F20"/>
          <w:spacing w:val="16"/>
          <w:sz w:val="21"/>
        </w:rPr>
        <w:t xml:space="preserve"> </w:t>
      </w:r>
      <w:r>
        <w:rPr>
          <w:color w:val="231F20"/>
          <w:sz w:val="21"/>
        </w:rPr>
        <w:t>for</w:t>
      </w:r>
      <w:r>
        <w:rPr>
          <w:color w:val="231F20"/>
          <w:spacing w:val="17"/>
          <w:sz w:val="21"/>
        </w:rPr>
        <w:t xml:space="preserve"> </w:t>
      </w:r>
      <w:r>
        <w:rPr>
          <w:color w:val="231F20"/>
          <w:sz w:val="21"/>
        </w:rPr>
        <w:t>the</w:t>
      </w:r>
      <w:r>
        <w:rPr>
          <w:color w:val="231F20"/>
          <w:spacing w:val="16"/>
          <w:sz w:val="21"/>
        </w:rPr>
        <w:t xml:space="preserve"> </w:t>
      </w:r>
      <w:r>
        <w:rPr>
          <w:color w:val="231F20"/>
          <w:sz w:val="21"/>
        </w:rPr>
        <w:t>relocation</w:t>
      </w:r>
      <w:r>
        <w:rPr>
          <w:color w:val="231F20"/>
          <w:spacing w:val="16"/>
          <w:sz w:val="21"/>
        </w:rPr>
        <w:t xml:space="preserve"> </w:t>
      </w:r>
      <w:r>
        <w:rPr>
          <w:color w:val="231F20"/>
          <w:sz w:val="21"/>
        </w:rPr>
        <w:t>or</w:t>
      </w:r>
      <w:r>
        <w:rPr>
          <w:color w:val="231F20"/>
          <w:spacing w:val="17"/>
          <w:sz w:val="21"/>
        </w:rPr>
        <w:t xml:space="preserve"> </w:t>
      </w:r>
      <w:r>
        <w:rPr>
          <w:color w:val="231F20"/>
          <w:sz w:val="21"/>
        </w:rPr>
        <w:t>temporary</w:t>
      </w:r>
      <w:r>
        <w:rPr>
          <w:color w:val="231F20"/>
          <w:spacing w:val="16"/>
          <w:sz w:val="21"/>
        </w:rPr>
        <w:t xml:space="preserve"> </w:t>
      </w:r>
      <w:r>
        <w:rPr>
          <w:color w:val="231F20"/>
          <w:sz w:val="21"/>
        </w:rPr>
        <w:t>settlement</w:t>
      </w:r>
      <w:r>
        <w:rPr>
          <w:color w:val="231F20"/>
          <w:spacing w:val="17"/>
          <w:sz w:val="21"/>
        </w:rPr>
        <w:t xml:space="preserve"> </w:t>
      </w:r>
      <w:r>
        <w:rPr>
          <w:color w:val="231F20"/>
          <w:sz w:val="21"/>
        </w:rPr>
        <w:t>resulting</w:t>
      </w:r>
      <w:r>
        <w:rPr>
          <w:color w:val="231F20"/>
          <w:spacing w:val="16"/>
          <w:sz w:val="21"/>
        </w:rPr>
        <w:t xml:space="preserve"> </w:t>
      </w:r>
      <w:r>
        <w:rPr>
          <w:color w:val="231F20"/>
          <w:sz w:val="21"/>
        </w:rPr>
        <w:t>from</w:t>
      </w:r>
      <w:r>
        <w:rPr>
          <w:color w:val="231F20"/>
          <w:spacing w:val="16"/>
          <w:sz w:val="21"/>
        </w:rPr>
        <w:t xml:space="preserve"> </w:t>
      </w:r>
      <w:r>
        <w:rPr>
          <w:color w:val="231F20"/>
          <w:sz w:val="21"/>
        </w:rPr>
        <w:t>the</w:t>
      </w:r>
      <w:r>
        <w:rPr>
          <w:color w:val="231F20"/>
          <w:spacing w:val="17"/>
          <w:sz w:val="21"/>
        </w:rPr>
        <w:t xml:space="preserve"> </w:t>
      </w:r>
      <w:r>
        <w:rPr>
          <w:color w:val="231F20"/>
          <w:sz w:val="21"/>
        </w:rPr>
        <w:t>building</w:t>
      </w:r>
    </w:p>
    <w:p w14:paraId="0BCCA64F">
      <w:pPr>
        <w:pStyle w:val="3"/>
        <w:spacing w:before="124"/>
        <w:ind w:left="225"/>
        <w:jc w:val="both"/>
      </w:pPr>
      <w:r>
        <w:rPr>
          <w:color w:val="231F20"/>
        </w:rPr>
        <w:t>expropriation;</w:t>
      </w:r>
    </w:p>
    <w:p w14:paraId="2E02B0BA">
      <w:pPr>
        <w:pStyle w:val="6"/>
        <w:numPr>
          <w:ilvl w:val="0"/>
          <w:numId w:val="2"/>
        </w:numPr>
        <w:tabs>
          <w:tab w:val="left" w:pos="1026"/>
        </w:tabs>
        <w:spacing w:before="125" w:after="0" w:line="240" w:lineRule="auto"/>
        <w:ind w:left="1025" w:right="0" w:hanging="319"/>
        <w:jc w:val="both"/>
        <w:rPr>
          <w:sz w:val="21"/>
        </w:rPr>
      </w:pPr>
      <w:r>
        <w:rPr>
          <w:color w:val="231F20"/>
          <w:sz w:val="21"/>
        </w:rPr>
        <w:t>The</w:t>
      </w:r>
      <w:r>
        <w:rPr>
          <w:color w:val="231F20"/>
          <w:spacing w:val="24"/>
          <w:sz w:val="21"/>
        </w:rPr>
        <w:t xml:space="preserve"> </w:t>
      </w:r>
      <w:r>
        <w:rPr>
          <w:color w:val="231F20"/>
          <w:sz w:val="21"/>
        </w:rPr>
        <w:t>compensation</w:t>
      </w:r>
      <w:r>
        <w:rPr>
          <w:color w:val="231F20"/>
          <w:spacing w:val="24"/>
          <w:sz w:val="21"/>
        </w:rPr>
        <w:t xml:space="preserve"> </w:t>
      </w:r>
      <w:r>
        <w:rPr>
          <w:color w:val="231F20"/>
          <w:sz w:val="21"/>
        </w:rPr>
        <w:t>for</w:t>
      </w:r>
      <w:r>
        <w:rPr>
          <w:color w:val="231F20"/>
          <w:spacing w:val="24"/>
          <w:sz w:val="21"/>
        </w:rPr>
        <w:t xml:space="preserve"> </w:t>
      </w:r>
      <w:r>
        <w:rPr>
          <w:color w:val="231F20"/>
          <w:sz w:val="21"/>
        </w:rPr>
        <w:t>the</w:t>
      </w:r>
      <w:r>
        <w:rPr>
          <w:color w:val="231F20"/>
          <w:spacing w:val="24"/>
          <w:sz w:val="21"/>
        </w:rPr>
        <w:t xml:space="preserve"> </w:t>
      </w:r>
      <w:r>
        <w:rPr>
          <w:color w:val="231F20"/>
          <w:sz w:val="21"/>
        </w:rPr>
        <w:t>production</w:t>
      </w:r>
      <w:r>
        <w:rPr>
          <w:color w:val="231F20"/>
          <w:spacing w:val="24"/>
          <w:sz w:val="21"/>
        </w:rPr>
        <w:t xml:space="preserve"> </w:t>
      </w:r>
      <w:r>
        <w:rPr>
          <w:color w:val="231F20"/>
          <w:sz w:val="21"/>
        </w:rPr>
        <w:t>or</w:t>
      </w:r>
      <w:r>
        <w:rPr>
          <w:color w:val="231F20"/>
          <w:spacing w:val="25"/>
          <w:sz w:val="21"/>
        </w:rPr>
        <w:t xml:space="preserve"> </w:t>
      </w:r>
      <w:r>
        <w:rPr>
          <w:color w:val="231F20"/>
          <w:sz w:val="21"/>
        </w:rPr>
        <w:t>business</w:t>
      </w:r>
      <w:r>
        <w:rPr>
          <w:color w:val="231F20"/>
          <w:spacing w:val="24"/>
          <w:sz w:val="21"/>
        </w:rPr>
        <w:t xml:space="preserve"> </w:t>
      </w:r>
      <w:r>
        <w:rPr>
          <w:color w:val="231F20"/>
          <w:sz w:val="21"/>
        </w:rPr>
        <w:t>interruption</w:t>
      </w:r>
      <w:r>
        <w:rPr>
          <w:color w:val="231F20"/>
          <w:spacing w:val="24"/>
          <w:sz w:val="21"/>
        </w:rPr>
        <w:t xml:space="preserve"> </w:t>
      </w:r>
      <w:r>
        <w:rPr>
          <w:color w:val="231F20"/>
          <w:sz w:val="21"/>
        </w:rPr>
        <w:t>losses</w:t>
      </w:r>
      <w:r>
        <w:rPr>
          <w:color w:val="231F20"/>
          <w:spacing w:val="24"/>
          <w:sz w:val="21"/>
        </w:rPr>
        <w:t xml:space="preserve"> </w:t>
      </w:r>
      <w:r>
        <w:rPr>
          <w:color w:val="231F20"/>
          <w:sz w:val="21"/>
        </w:rPr>
        <w:t>resulting</w:t>
      </w:r>
      <w:r>
        <w:rPr>
          <w:color w:val="231F20"/>
          <w:spacing w:val="24"/>
          <w:sz w:val="21"/>
        </w:rPr>
        <w:t xml:space="preserve"> </w:t>
      </w:r>
      <w:r>
        <w:rPr>
          <w:color w:val="231F20"/>
          <w:sz w:val="21"/>
        </w:rPr>
        <w:t>from</w:t>
      </w:r>
      <w:r>
        <w:rPr>
          <w:color w:val="231F20"/>
          <w:spacing w:val="25"/>
          <w:sz w:val="21"/>
        </w:rPr>
        <w:t xml:space="preserve"> </w:t>
      </w:r>
      <w:r>
        <w:rPr>
          <w:color w:val="231F20"/>
          <w:sz w:val="21"/>
        </w:rPr>
        <w:t>the</w:t>
      </w:r>
    </w:p>
    <w:p w14:paraId="1AE9DE66">
      <w:pPr>
        <w:pStyle w:val="3"/>
        <w:spacing w:before="124"/>
        <w:ind w:left="225"/>
        <w:jc w:val="both"/>
      </w:pPr>
      <w:r>
        <w:rPr>
          <w:color w:val="231F20"/>
        </w:rPr>
        <w:t>building expropriation.</w:t>
      </w:r>
    </w:p>
    <w:p w14:paraId="28AD437A">
      <w:pPr>
        <w:pStyle w:val="3"/>
        <w:spacing w:before="125" w:line="364" w:lineRule="auto"/>
        <w:ind w:left="225" w:right="243" w:firstLine="481"/>
        <w:jc w:val="both"/>
      </w:pPr>
      <w:r>
        <w:rPr>
          <w:color w:val="231F20"/>
        </w:rPr>
        <w:t>The value of the expropriated building shall include the value of decoration and fitment in the building, the value of ancillary facilities and the value of the right to use state-owned land attached to the building.</w:t>
      </w:r>
    </w:p>
    <w:p w14:paraId="06EEABFF">
      <w:pPr>
        <w:pStyle w:val="3"/>
        <w:spacing w:line="238" w:lineRule="exact"/>
        <w:ind w:left="707"/>
        <w:jc w:val="both"/>
      </w:pPr>
      <w:r>
        <w:rPr>
          <w:b/>
          <w:color w:val="231F20"/>
        </w:rPr>
        <w:t xml:space="preserve">Article 31. </w:t>
      </w:r>
      <w:r>
        <w:rPr>
          <w:color w:val="231F20"/>
        </w:rPr>
        <w:t>The compensation for the value of the building expropriated shall not be less</w:t>
      </w:r>
      <w:r>
        <w:rPr>
          <w:color w:val="231F20"/>
          <w:spacing w:val="50"/>
        </w:rPr>
        <w:t xml:space="preserve"> </w:t>
      </w:r>
      <w:r>
        <w:rPr>
          <w:color w:val="231F20"/>
        </w:rPr>
        <w:t>than</w:t>
      </w:r>
    </w:p>
    <w:p w14:paraId="14239B70">
      <w:pPr>
        <w:pStyle w:val="3"/>
        <w:spacing w:before="124"/>
        <w:ind w:left="225"/>
        <w:jc w:val="both"/>
      </w:pPr>
      <w:r>
        <w:rPr>
          <w:color w:val="231F20"/>
        </w:rPr>
        <w:t>the</w:t>
      </w:r>
      <w:r>
        <w:rPr>
          <w:color w:val="231F20"/>
          <w:spacing w:val="10"/>
        </w:rPr>
        <w:t xml:space="preserve"> </w:t>
      </w:r>
      <w:r>
        <w:rPr>
          <w:color w:val="231F20"/>
        </w:rPr>
        <w:t>market</w:t>
      </w:r>
      <w:r>
        <w:rPr>
          <w:color w:val="231F20"/>
          <w:spacing w:val="11"/>
        </w:rPr>
        <w:t xml:space="preserve"> </w:t>
      </w:r>
      <w:r>
        <w:rPr>
          <w:color w:val="231F20"/>
        </w:rPr>
        <w:t>price</w:t>
      </w:r>
      <w:r>
        <w:rPr>
          <w:color w:val="231F20"/>
          <w:spacing w:val="10"/>
        </w:rPr>
        <w:t xml:space="preserve"> </w:t>
      </w:r>
      <w:r>
        <w:rPr>
          <w:color w:val="231F20"/>
        </w:rPr>
        <w:t>of</w:t>
      </w:r>
      <w:r>
        <w:rPr>
          <w:color w:val="231F20"/>
          <w:spacing w:val="11"/>
        </w:rPr>
        <w:t xml:space="preserve"> </w:t>
      </w:r>
      <w:r>
        <w:rPr>
          <w:color w:val="231F20"/>
        </w:rPr>
        <w:t>real</w:t>
      </w:r>
      <w:r>
        <w:rPr>
          <w:color w:val="231F20"/>
          <w:spacing w:val="10"/>
        </w:rPr>
        <w:t xml:space="preserve"> </w:t>
      </w:r>
      <w:r>
        <w:rPr>
          <w:color w:val="231F20"/>
        </w:rPr>
        <w:t>estate</w:t>
      </w:r>
      <w:r>
        <w:rPr>
          <w:color w:val="231F20"/>
          <w:spacing w:val="11"/>
        </w:rPr>
        <w:t xml:space="preserve"> </w:t>
      </w:r>
      <w:r>
        <w:rPr>
          <w:color w:val="231F20"/>
        </w:rPr>
        <w:t>similar</w:t>
      </w:r>
      <w:r>
        <w:rPr>
          <w:color w:val="231F20"/>
          <w:spacing w:val="9"/>
        </w:rPr>
        <w:t xml:space="preserve"> </w:t>
      </w:r>
      <w:r>
        <w:rPr>
          <w:color w:val="231F20"/>
        </w:rPr>
        <w:t>to</w:t>
      </w:r>
      <w:r>
        <w:rPr>
          <w:color w:val="231F20"/>
          <w:spacing w:val="11"/>
        </w:rPr>
        <w:t xml:space="preserve"> </w:t>
      </w:r>
      <w:r>
        <w:rPr>
          <w:color w:val="231F20"/>
        </w:rPr>
        <w:t>the</w:t>
      </w:r>
      <w:r>
        <w:rPr>
          <w:color w:val="231F20"/>
          <w:spacing w:val="11"/>
        </w:rPr>
        <w:t xml:space="preserve"> </w:t>
      </w:r>
      <w:r>
        <w:rPr>
          <w:color w:val="231F20"/>
        </w:rPr>
        <w:t>building</w:t>
      </w:r>
      <w:r>
        <w:rPr>
          <w:color w:val="231F20"/>
          <w:spacing w:val="10"/>
        </w:rPr>
        <w:t xml:space="preserve"> </w:t>
      </w:r>
      <w:r>
        <w:rPr>
          <w:color w:val="231F20"/>
        </w:rPr>
        <w:t>expropriated</w:t>
      </w:r>
      <w:r>
        <w:rPr>
          <w:color w:val="231F20"/>
          <w:spacing w:val="11"/>
        </w:rPr>
        <w:t xml:space="preserve"> </w:t>
      </w:r>
      <w:r>
        <w:rPr>
          <w:color w:val="231F20"/>
        </w:rPr>
        <w:t>on</w:t>
      </w:r>
      <w:r>
        <w:rPr>
          <w:color w:val="231F20"/>
          <w:spacing w:val="10"/>
        </w:rPr>
        <w:t xml:space="preserve"> </w:t>
      </w:r>
      <w:r>
        <w:rPr>
          <w:color w:val="231F20"/>
        </w:rPr>
        <w:t>the</w:t>
      </w:r>
      <w:r>
        <w:rPr>
          <w:color w:val="231F20"/>
          <w:spacing w:val="11"/>
        </w:rPr>
        <w:t xml:space="preserve"> </w:t>
      </w:r>
      <w:r>
        <w:rPr>
          <w:color w:val="231F20"/>
        </w:rPr>
        <w:t>date</w:t>
      </w:r>
      <w:r>
        <w:rPr>
          <w:color w:val="231F20"/>
          <w:spacing w:val="10"/>
        </w:rPr>
        <w:t xml:space="preserve"> </w:t>
      </w:r>
      <w:r>
        <w:rPr>
          <w:color w:val="231F20"/>
        </w:rPr>
        <w:t>of</w:t>
      </w:r>
      <w:r>
        <w:rPr>
          <w:color w:val="231F20"/>
          <w:spacing w:val="11"/>
        </w:rPr>
        <w:t xml:space="preserve"> </w:t>
      </w:r>
      <w:r>
        <w:rPr>
          <w:color w:val="231F20"/>
        </w:rPr>
        <w:t>announcement</w:t>
      </w:r>
      <w:r>
        <w:rPr>
          <w:color w:val="231F20"/>
          <w:spacing w:val="11"/>
        </w:rPr>
        <w:t xml:space="preserve"> </w:t>
      </w:r>
      <w:r>
        <w:rPr>
          <w:color w:val="231F20"/>
        </w:rPr>
        <w:t>of</w:t>
      </w:r>
    </w:p>
    <w:p w14:paraId="26B55238">
      <w:pPr>
        <w:pStyle w:val="3"/>
        <w:spacing w:before="91"/>
        <w:ind w:left="225"/>
        <w:jc w:val="both"/>
      </w:pPr>
      <w:r>
        <w:rPr>
          <w:color w:val="231F20"/>
        </w:rPr>
        <w:t>the building expropriation decision.</w:t>
      </w:r>
    </w:p>
    <w:p w14:paraId="2E5008F9">
      <w:pPr>
        <w:pStyle w:val="3"/>
        <w:spacing w:before="135" w:line="374" w:lineRule="auto"/>
        <w:ind w:left="225" w:right="233" w:firstLine="481"/>
        <w:jc w:val="both"/>
      </w:pPr>
      <w:r>
        <w:rPr>
          <w:b/>
          <w:color w:val="231F20"/>
        </w:rPr>
        <w:t xml:space="preserve">Article 32. </w:t>
      </w:r>
      <w:r>
        <w:rPr>
          <w:color w:val="231F20"/>
        </w:rPr>
        <w:t xml:space="preserve">An owner may choose either monetary compensation or exchange of titles. Where the </w:t>
      </w:r>
      <w:r>
        <w:rPr>
          <w:color w:val="231F20"/>
          <w:spacing w:val="2"/>
        </w:rPr>
        <w:t xml:space="preserve">land </w:t>
      </w:r>
      <w:r>
        <w:rPr>
          <w:color w:val="231F20"/>
        </w:rPr>
        <w:t xml:space="preserve">lot of </w:t>
      </w:r>
      <w:r>
        <w:rPr>
          <w:color w:val="231F20"/>
          <w:spacing w:val="2"/>
        </w:rPr>
        <w:t xml:space="preserve">expropriated building does </w:t>
      </w:r>
      <w:r>
        <w:rPr>
          <w:color w:val="231F20"/>
        </w:rPr>
        <w:t xml:space="preserve">not met the </w:t>
      </w:r>
      <w:r>
        <w:rPr>
          <w:color w:val="231F20"/>
          <w:spacing w:val="2"/>
        </w:rPr>
        <w:t xml:space="preserve">conditions </w:t>
      </w:r>
      <w:r>
        <w:rPr>
          <w:color w:val="231F20"/>
        </w:rPr>
        <w:t xml:space="preserve">for the </w:t>
      </w:r>
      <w:r>
        <w:rPr>
          <w:color w:val="231F20"/>
          <w:spacing w:val="2"/>
        </w:rPr>
        <w:t xml:space="preserve">exchange </w:t>
      </w:r>
      <w:r>
        <w:rPr>
          <w:color w:val="231F20"/>
        </w:rPr>
        <w:t xml:space="preserve">of </w:t>
      </w:r>
      <w:r>
        <w:rPr>
          <w:color w:val="231F20"/>
          <w:spacing w:val="3"/>
        </w:rPr>
        <w:t xml:space="preserve">building </w:t>
      </w:r>
      <w:r>
        <w:rPr>
          <w:color w:val="231F20"/>
        </w:rPr>
        <w:t>titles, the titles for the exchange of building may be provided in other lots, considering the price differences of the lots and reasonable</w:t>
      </w:r>
      <w:r>
        <w:rPr>
          <w:color w:val="231F20"/>
          <w:spacing w:val="-1"/>
        </w:rPr>
        <w:t xml:space="preserve"> </w:t>
      </w:r>
      <w:r>
        <w:rPr>
          <w:color w:val="231F20"/>
        </w:rPr>
        <w:t>compensation.</w:t>
      </w:r>
    </w:p>
    <w:p w14:paraId="5A562412">
      <w:pPr>
        <w:pStyle w:val="3"/>
        <w:spacing w:line="374" w:lineRule="auto"/>
        <w:ind w:left="225" w:right="241" w:firstLine="481"/>
        <w:jc w:val="both"/>
      </w:pPr>
      <w:r>
        <w:rPr>
          <w:color w:val="231F20"/>
        </w:rPr>
        <w:t>If personal building is expropriated due to the rebuilding of an old urban area, and an owner chooses exchange of titles in the rebuilt area, the people's government at the city or county level which makes the building expropriation decision shall provide a building in the rebuilt area or in a nearby area.</w:t>
      </w:r>
    </w:p>
    <w:p w14:paraId="3B3F6DDB">
      <w:pPr>
        <w:pStyle w:val="3"/>
        <w:spacing w:line="374" w:lineRule="auto"/>
        <w:ind w:left="225" w:right="239" w:firstLine="481"/>
        <w:jc w:val="both"/>
      </w:pPr>
      <w:r>
        <w:rPr>
          <w:b/>
          <w:color w:val="231F20"/>
        </w:rPr>
        <w:t xml:space="preserve">Article 33. </w:t>
      </w:r>
      <w:r>
        <w:rPr>
          <w:color w:val="231F20"/>
        </w:rPr>
        <w:t>As for the public resident buildings conforming to the provisions of the urban building</w:t>
      </w:r>
      <w:r>
        <w:rPr>
          <w:color w:val="231F20"/>
          <w:spacing w:val="-7"/>
        </w:rPr>
        <w:t xml:space="preserve"> </w:t>
      </w:r>
      <w:r>
        <w:rPr>
          <w:color w:val="231F20"/>
        </w:rPr>
        <w:t>system</w:t>
      </w:r>
      <w:r>
        <w:rPr>
          <w:color w:val="231F20"/>
          <w:spacing w:val="-7"/>
        </w:rPr>
        <w:t xml:space="preserve"> </w:t>
      </w:r>
      <w:r>
        <w:rPr>
          <w:color w:val="231F20"/>
        </w:rPr>
        <w:t>reform</w:t>
      </w:r>
      <w:r>
        <w:rPr>
          <w:color w:val="231F20"/>
          <w:spacing w:val="-6"/>
        </w:rPr>
        <w:t xml:space="preserve"> </w:t>
      </w:r>
      <w:r>
        <w:rPr>
          <w:color w:val="231F20"/>
        </w:rPr>
        <w:t>policies,</w:t>
      </w:r>
      <w:r>
        <w:rPr>
          <w:color w:val="231F20"/>
          <w:spacing w:val="-7"/>
        </w:rPr>
        <w:t xml:space="preserve"> </w:t>
      </w:r>
      <w:r>
        <w:rPr>
          <w:color w:val="231F20"/>
        </w:rPr>
        <w:t>public</w:t>
      </w:r>
      <w:r>
        <w:rPr>
          <w:color w:val="231F20"/>
          <w:spacing w:val="-7"/>
        </w:rPr>
        <w:t xml:space="preserve"> </w:t>
      </w:r>
      <w:r>
        <w:rPr>
          <w:color w:val="231F20"/>
        </w:rPr>
        <w:t>building</w:t>
      </w:r>
      <w:r>
        <w:rPr>
          <w:color w:val="231F20"/>
          <w:spacing w:val="-6"/>
        </w:rPr>
        <w:t xml:space="preserve"> </w:t>
      </w:r>
      <w:r>
        <w:rPr>
          <w:color w:val="231F20"/>
        </w:rPr>
        <w:t>shall</w:t>
      </w:r>
      <w:r>
        <w:rPr>
          <w:color w:val="231F20"/>
          <w:spacing w:val="-7"/>
        </w:rPr>
        <w:t xml:space="preserve"> </w:t>
      </w:r>
      <w:r>
        <w:rPr>
          <w:color w:val="231F20"/>
        </w:rPr>
        <w:t>be</w:t>
      </w:r>
      <w:r>
        <w:rPr>
          <w:color w:val="231F20"/>
          <w:spacing w:val="-6"/>
        </w:rPr>
        <w:t xml:space="preserve"> </w:t>
      </w:r>
      <w:r>
        <w:rPr>
          <w:color w:val="231F20"/>
        </w:rPr>
        <w:t>sold</w:t>
      </w:r>
      <w:r>
        <w:rPr>
          <w:color w:val="231F20"/>
          <w:spacing w:val="-7"/>
        </w:rPr>
        <w:t xml:space="preserve"> </w:t>
      </w:r>
      <w:r>
        <w:rPr>
          <w:color w:val="231F20"/>
        </w:rPr>
        <w:t>first</w:t>
      </w:r>
      <w:r>
        <w:rPr>
          <w:color w:val="231F20"/>
          <w:spacing w:val="-7"/>
        </w:rPr>
        <w:t xml:space="preserve"> </w:t>
      </w:r>
      <w:r>
        <w:rPr>
          <w:color w:val="231F20"/>
        </w:rPr>
        <w:t>before</w:t>
      </w:r>
      <w:r>
        <w:rPr>
          <w:color w:val="231F20"/>
          <w:spacing w:val="-6"/>
        </w:rPr>
        <w:t xml:space="preserve"> </w:t>
      </w:r>
      <w:r>
        <w:rPr>
          <w:color w:val="231F20"/>
        </w:rPr>
        <w:t>expropriation.</w:t>
      </w:r>
      <w:r>
        <w:rPr>
          <w:color w:val="231F20"/>
          <w:spacing w:val="-17"/>
        </w:rPr>
        <w:t xml:space="preserve"> </w:t>
      </w:r>
      <w:r>
        <w:rPr>
          <w:color w:val="231F20"/>
        </w:rPr>
        <w:t>As</w:t>
      </w:r>
      <w:r>
        <w:rPr>
          <w:color w:val="231F20"/>
          <w:spacing w:val="-6"/>
        </w:rPr>
        <w:t xml:space="preserve"> </w:t>
      </w:r>
      <w:r>
        <w:rPr>
          <w:color w:val="231F20"/>
        </w:rPr>
        <w:t>for</w:t>
      </w:r>
      <w:r>
        <w:rPr>
          <w:color w:val="231F20"/>
          <w:spacing w:val="-7"/>
        </w:rPr>
        <w:t xml:space="preserve"> </w:t>
      </w:r>
      <w:r>
        <w:rPr>
          <w:color w:val="231F20"/>
        </w:rPr>
        <w:t>those who do not meet the conditions for the sale of public buildings, compensation for the exchange of building titles may be adopted. The buildings with titles exchanged may be continued to be leased by the lessee, with a new building lease contract</w:t>
      </w:r>
      <w:r>
        <w:rPr>
          <w:color w:val="231F20"/>
          <w:spacing w:val="-3"/>
        </w:rPr>
        <w:t xml:space="preserve"> </w:t>
      </w:r>
      <w:r>
        <w:rPr>
          <w:color w:val="231F20"/>
        </w:rPr>
        <w:t>signed.</w:t>
      </w:r>
    </w:p>
    <w:p w14:paraId="76A901F6">
      <w:pPr>
        <w:pStyle w:val="3"/>
        <w:spacing w:line="374" w:lineRule="auto"/>
        <w:ind w:left="225" w:right="242" w:firstLine="481"/>
        <w:jc w:val="both"/>
      </w:pPr>
      <w:r>
        <w:rPr>
          <w:b/>
          <w:color w:val="231F20"/>
        </w:rPr>
        <w:t xml:space="preserve">Article 34. </w:t>
      </w:r>
      <w:r>
        <w:rPr>
          <w:color w:val="231F20"/>
        </w:rPr>
        <w:t>The people’s government at the city or county level shall, in accordance with the economic and social development, regularly adjust the compensation standards for relocation and temporary resettlement caused by the building expropriation.</w:t>
      </w:r>
    </w:p>
    <w:p w14:paraId="7380CC6D">
      <w:pPr>
        <w:pStyle w:val="3"/>
        <w:spacing w:line="374" w:lineRule="auto"/>
        <w:ind w:left="225" w:right="241" w:firstLine="481"/>
        <w:jc w:val="both"/>
      </w:pPr>
      <w:r>
        <w:rPr>
          <w:b/>
          <w:color w:val="231F20"/>
        </w:rPr>
        <w:t xml:space="preserve">Article 35. </w:t>
      </w:r>
      <w:r>
        <w:rPr>
          <w:color w:val="231F20"/>
        </w:rPr>
        <w:t>Where the expropriated person chooses to exchange the building title and resolves the transitional building on his own, the building expropriation department shall pay the temporary resettlement fee. In case of failure of delivering the building of exchanged title as agreed, a temporary resettlement fee higher than the original standard shall be paid from the month of the overdue.</w:t>
      </w:r>
    </w:p>
    <w:p w14:paraId="40726441">
      <w:pPr>
        <w:pStyle w:val="3"/>
        <w:spacing w:line="374" w:lineRule="auto"/>
        <w:ind w:left="225" w:right="241" w:firstLine="481"/>
        <w:jc w:val="both"/>
      </w:pPr>
      <w:r>
        <w:rPr>
          <w:b/>
          <w:color w:val="231F20"/>
        </w:rPr>
        <w:t xml:space="preserve">Article 36. </w:t>
      </w:r>
      <w:r>
        <w:rPr>
          <w:color w:val="231F20"/>
        </w:rPr>
        <w:t>Where production or business stop is caused by the building expropriation and meets the following conditions, compensation shall be paid for the loss of production or business stop:</w:t>
      </w:r>
    </w:p>
    <w:p w14:paraId="6D5748F4">
      <w:pPr>
        <w:pStyle w:val="6"/>
        <w:numPr>
          <w:ilvl w:val="0"/>
          <w:numId w:val="3"/>
        </w:numPr>
        <w:tabs>
          <w:tab w:val="left" w:pos="1028"/>
        </w:tabs>
        <w:spacing w:before="0" w:after="0" w:line="225" w:lineRule="exact"/>
        <w:ind w:left="1027" w:right="0" w:hanging="321"/>
        <w:jc w:val="both"/>
        <w:rPr>
          <w:sz w:val="21"/>
        </w:rPr>
      </w:pPr>
      <w:r>
        <w:rPr>
          <w:color w:val="231F20"/>
          <w:sz w:val="21"/>
        </w:rPr>
        <w:t>the</w:t>
      </w:r>
      <w:r>
        <w:rPr>
          <w:color w:val="231F20"/>
          <w:spacing w:val="23"/>
          <w:sz w:val="21"/>
        </w:rPr>
        <w:t xml:space="preserve"> </w:t>
      </w:r>
      <w:r>
        <w:rPr>
          <w:color w:val="231F20"/>
          <w:sz w:val="21"/>
        </w:rPr>
        <w:t>use</w:t>
      </w:r>
      <w:r>
        <w:rPr>
          <w:color w:val="231F20"/>
          <w:spacing w:val="23"/>
          <w:sz w:val="21"/>
        </w:rPr>
        <w:t xml:space="preserve"> </w:t>
      </w:r>
      <w:r>
        <w:rPr>
          <w:color w:val="231F20"/>
          <w:sz w:val="21"/>
        </w:rPr>
        <w:t>of</w:t>
      </w:r>
      <w:r>
        <w:rPr>
          <w:color w:val="231F20"/>
          <w:spacing w:val="23"/>
          <w:sz w:val="21"/>
        </w:rPr>
        <w:t xml:space="preserve"> </w:t>
      </w:r>
      <w:r>
        <w:rPr>
          <w:color w:val="231F20"/>
          <w:sz w:val="21"/>
        </w:rPr>
        <w:t>the</w:t>
      </w:r>
      <w:r>
        <w:rPr>
          <w:color w:val="231F20"/>
          <w:spacing w:val="23"/>
          <w:sz w:val="21"/>
        </w:rPr>
        <w:t xml:space="preserve"> </w:t>
      </w:r>
      <w:r>
        <w:rPr>
          <w:color w:val="231F20"/>
          <w:sz w:val="21"/>
        </w:rPr>
        <w:t>building</w:t>
      </w:r>
      <w:r>
        <w:rPr>
          <w:color w:val="231F20"/>
          <w:spacing w:val="23"/>
          <w:sz w:val="21"/>
        </w:rPr>
        <w:t xml:space="preserve"> </w:t>
      </w:r>
      <w:r>
        <w:rPr>
          <w:color w:val="231F20"/>
          <w:sz w:val="21"/>
        </w:rPr>
        <w:t>is</w:t>
      </w:r>
      <w:r>
        <w:rPr>
          <w:color w:val="231F20"/>
          <w:spacing w:val="24"/>
          <w:sz w:val="21"/>
        </w:rPr>
        <w:t xml:space="preserve"> </w:t>
      </w:r>
      <w:r>
        <w:rPr>
          <w:color w:val="231F20"/>
          <w:sz w:val="21"/>
        </w:rPr>
        <w:t>for</w:t>
      </w:r>
      <w:r>
        <w:rPr>
          <w:color w:val="231F20"/>
          <w:spacing w:val="22"/>
          <w:sz w:val="21"/>
        </w:rPr>
        <w:t xml:space="preserve"> </w:t>
      </w:r>
      <w:r>
        <w:rPr>
          <w:color w:val="231F20"/>
          <w:sz w:val="21"/>
        </w:rPr>
        <w:t>non-residential</w:t>
      </w:r>
      <w:r>
        <w:rPr>
          <w:color w:val="231F20"/>
          <w:spacing w:val="23"/>
          <w:sz w:val="21"/>
        </w:rPr>
        <w:t xml:space="preserve"> </w:t>
      </w:r>
      <w:r>
        <w:rPr>
          <w:color w:val="231F20"/>
          <w:sz w:val="21"/>
        </w:rPr>
        <w:t>buildings</w:t>
      </w:r>
      <w:r>
        <w:rPr>
          <w:color w:val="231F20"/>
          <w:spacing w:val="23"/>
          <w:sz w:val="21"/>
        </w:rPr>
        <w:t xml:space="preserve"> </w:t>
      </w:r>
      <w:r>
        <w:rPr>
          <w:color w:val="231F20"/>
          <w:sz w:val="21"/>
        </w:rPr>
        <w:t>such</w:t>
      </w:r>
      <w:r>
        <w:rPr>
          <w:color w:val="231F20"/>
          <w:spacing w:val="22"/>
          <w:sz w:val="21"/>
        </w:rPr>
        <w:t xml:space="preserve"> </w:t>
      </w:r>
      <w:r>
        <w:rPr>
          <w:color w:val="231F20"/>
          <w:sz w:val="21"/>
        </w:rPr>
        <w:t>as</w:t>
      </w:r>
      <w:r>
        <w:rPr>
          <w:color w:val="231F20"/>
          <w:spacing w:val="24"/>
          <w:sz w:val="21"/>
        </w:rPr>
        <w:t xml:space="preserve"> </w:t>
      </w:r>
      <w:r>
        <w:rPr>
          <w:color w:val="231F20"/>
          <w:sz w:val="21"/>
        </w:rPr>
        <w:t>production</w:t>
      </w:r>
      <w:r>
        <w:rPr>
          <w:color w:val="231F20"/>
          <w:spacing w:val="23"/>
          <w:sz w:val="21"/>
        </w:rPr>
        <w:t xml:space="preserve"> </w:t>
      </w:r>
      <w:r>
        <w:rPr>
          <w:color w:val="231F20"/>
          <w:sz w:val="21"/>
        </w:rPr>
        <w:t>and</w:t>
      </w:r>
      <w:r>
        <w:rPr>
          <w:color w:val="231F20"/>
          <w:spacing w:val="23"/>
          <w:sz w:val="21"/>
        </w:rPr>
        <w:t xml:space="preserve"> </w:t>
      </w:r>
      <w:r>
        <w:rPr>
          <w:color w:val="231F20"/>
          <w:sz w:val="21"/>
        </w:rPr>
        <w:t>business</w:t>
      </w:r>
    </w:p>
    <w:p w14:paraId="5134623D">
      <w:pPr>
        <w:pStyle w:val="3"/>
        <w:spacing w:before="134"/>
        <w:ind w:left="225"/>
        <w:jc w:val="both"/>
      </w:pPr>
      <w:r>
        <w:rPr>
          <w:color w:val="231F20"/>
        </w:rPr>
        <w:t>premises as recorded or verified by the real estate title certificate;</w:t>
      </w:r>
    </w:p>
    <w:p w14:paraId="31B3D301">
      <w:pPr>
        <w:pStyle w:val="6"/>
        <w:numPr>
          <w:ilvl w:val="0"/>
          <w:numId w:val="3"/>
        </w:numPr>
        <w:tabs>
          <w:tab w:val="left" w:pos="1015"/>
        </w:tabs>
        <w:spacing w:before="135" w:after="0" w:line="240" w:lineRule="auto"/>
        <w:ind w:left="1014" w:right="0" w:hanging="308"/>
        <w:jc w:val="both"/>
        <w:rPr>
          <w:sz w:val="21"/>
        </w:rPr>
      </w:pPr>
      <w:r>
        <w:rPr>
          <w:color w:val="231F20"/>
          <w:sz w:val="21"/>
        </w:rPr>
        <w:t>having</w:t>
      </w:r>
      <w:r>
        <w:rPr>
          <w:color w:val="231F20"/>
          <w:spacing w:val="9"/>
          <w:sz w:val="21"/>
        </w:rPr>
        <w:t xml:space="preserve"> </w:t>
      </w:r>
      <w:r>
        <w:rPr>
          <w:color w:val="231F20"/>
          <w:sz w:val="21"/>
        </w:rPr>
        <w:t>a</w:t>
      </w:r>
      <w:r>
        <w:rPr>
          <w:color w:val="231F20"/>
          <w:spacing w:val="9"/>
          <w:sz w:val="21"/>
        </w:rPr>
        <w:t xml:space="preserve"> </w:t>
      </w:r>
      <w:r>
        <w:rPr>
          <w:color w:val="231F20"/>
          <w:sz w:val="21"/>
        </w:rPr>
        <w:t>legal</w:t>
      </w:r>
      <w:r>
        <w:rPr>
          <w:color w:val="231F20"/>
          <w:spacing w:val="9"/>
          <w:sz w:val="21"/>
        </w:rPr>
        <w:t xml:space="preserve"> </w:t>
      </w:r>
      <w:r>
        <w:rPr>
          <w:color w:val="231F20"/>
          <w:sz w:val="21"/>
        </w:rPr>
        <w:t>and</w:t>
      </w:r>
      <w:r>
        <w:rPr>
          <w:color w:val="231F20"/>
          <w:spacing w:val="9"/>
          <w:sz w:val="21"/>
        </w:rPr>
        <w:t xml:space="preserve"> </w:t>
      </w:r>
      <w:r>
        <w:rPr>
          <w:color w:val="231F20"/>
          <w:sz w:val="21"/>
        </w:rPr>
        <w:t>valid</w:t>
      </w:r>
      <w:r>
        <w:rPr>
          <w:color w:val="231F20"/>
          <w:spacing w:val="9"/>
          <w:sz w:val="21"/>
        </w:rPr>
        <w:t xml:space="preserve"> </w:t>
      </w:r>
      <w:r>
        <w:rPr>
          <w:color w:val="231F20"/>
          <w:sz w:val="21"/>
        </w:rPr>
        <w:t>business</w:t>
      </w:r>
      <w:r>
        <w:rPr>
          <w:color w:val="231F20"/>
          <w:spacing w:val="9"/>
          <w:sz w:val="21"/>
        </w:rPr>
        <w:t xml:space="preserve"> </w:t>
      </w:r>
      <w:r>
        <w:rPr>
          <w:color w:val="231F20"/>
          <w:sz w:val="21"/>
        </w:rPr>
        <w:t>license,</w:t>
      </w:r>
      <w:r>
        <w:rPr>
          <w:color w:val="231F20"/>
          <w:spacing w:val="9"/>
          <w:sz w:val="21"/>
        </w:rPr>
        <w:t xml:space="preserve"> </w:t>
      </w:r>
      <w:r>
        <w:rPr>
          <w:color w:val="231F20"/>
          <w:sz w:val="21"/>
        </w:rPr>
        <w:t>and</w:t>
      </w:r>
      <w:r>
        <w:rPr>
          <w:color w:val="231F20"/>
          <w:spacing w:val="9"/>
          <w:sz w:val="21"/>
        </w:rPr>
        <w:t xml:space="preserve"> </w:t>
      </w:r>
      <w:r>
        <w:rPr>
          <w:color w:val="231F20"/>
          <w:sz w:val="21"/>
        </w:rPr>
        <w:t>having</w:t>
      </w:r>
      <w:r>
        <w:rPr>
          <w:color w:val="231F20"/>
          <w:spacing w:val="9"/>
          <w:sz w:val="21"/>
        </w:rPr>
        <w:t xml:space="preserve"> </w:t>
      </w:r>
      <w:r>
        <w:rPr>
          <w:color w:val="231F20"/>
          <w:sz w:val="21"/>
        </w:rPr>
        <w:t>the</w:t>
      </w:r>
      <w:r>
        <w:rPr>
          <w:color w:val="231F20"/>
          <w:spacing w:val="9"/>
          <w:sz w:val="21"/>
        </w:rPr>
        <w:t xml:space="preserve"> </w:t>
      </w:r>
      <w:r>
        <w:rPr>
          <w:color w:val="231F20"/>
          <w:sz w:val="21"/>
        </w:rPr>
        <w:t>expropriated</w:t>
      </w:r>
      <w:r>
        <w:rPr>
          <w:color w:val="231F20"/>
          <w:spacing w:val="9"/>
          <w:sz w:val="21"/>
        </w:rPr>
        <w:t xml:space="preserve"> </w:t>
      </w:r>
      <w:r>
        <w:rPr>
          <w:color w:val="231F20"/>
          <w:sz w:val="21"/>
        </w:rPr>
        <w:t>building</w:t>
      </w:r>
      <w:r>
        <w:rPr>
          <w:color w:val="231F20"/>
          <w:spacing w:val="9"/>
          <w:sz w:val="21"/>
        </w:rPr>
        <w:t xml:space="preserve"> </w:t>
      </w:r>
      <w:r>
        <w:rPr>
          <w:color w:val="231F20"/>
          <w:sz w:val="21"/>
        </w:rPr>
        <w:t>as</w:t>
      </w:r>
      <w:r>
        <w:rPr>
          <w:color w:val="231F20"/>
          <w:spacing w:val="9"/>
          <w:sz w:val="21"/>
        </w:rPr>
        <w:t xml:space="preserve"> </w:t>
      </w:r>
      <w:r>
        <w:rPr>
          <w:color w:val="231F20"/>
          <w:sz w:val="21"/>
        </w:rPr>
        <w:t>a</w:t>
      </w:r>
      <w:r>
        <w:rPr>
          <w:color w:val="231F20"/>
          <w:spacing w:val="9"/>
          <w:sz w:val="21"/>
        </w:rPr>
        <w:t xml:space="preserve"> </w:t>
      </w:r>
      <w:r>
        <w:rPr>
          <w:color w:val="231F20"/>
          <w:sz w:val="21"/>
        </w:rPr>
        <w:t>place</w:t>
      </w:r>
    </w:p>
    <w:p w14:paraId="1AB6F38E">
      <w:pPr>
        <w:pStyle w:val="3"/>
        <w:spacing w:before="134"/>
        <w:ind w:left="225"/>
        <w:jc w:val="both"/>
      </w:pPr>
      <w:r>
        <w:rPr>
          <w:color w:val="231F20"/>
        </w:rPr>
        <w:t>of business;</w:t>
      </w:r>
    </w:p>
    <w:p w14:paraId="1C6620F4">
      <w:pPr>
        <w:pStyle w:val="6"/>
        <w:numPr>
          <w:ilvl w:val="0"/>
          <w:numId w:val="3"/>
        </w:numPr>
        <w:tabs>
          <w:tab w:val="left" w:pos="1009"/>
        </w:tabs>
        <w:spacing w:before="135" w:after="0" w:line="240" w:lineRule="auto"/>
        <w:ind w:left="1008" w:right="0" w:hanging="302"/>
        <w:jc w:val="both"/>
        <w:rPr>
          <w:sz w:val="21"/>
        </w:rPr>
      </w:pPr>
      <w:r>
        <w:rPr>
          <w:color w:val="231F20"/>
          <w:sz w:val="21"/>
        </w:rPr>
        <w:t>being in normal production and operation on the date of the announcement of the</w:t>
      </w:r>
      <w:r>
        <w:rPr>
          <w:color w:val="231F20"/>
          <w:spacing w:val="42"/>
          <w:sz w:val="21"/>
        </w:rPr>
        <w:t xml:space="preserve"> </w:t>
      </w:r>
      <w:r>
        <w:rPr>
          <w:color w:val="231F20"/>
          <w:sz w:val="21"/>
        </w:rPr>
        <w:t>building</w:t>
      </w:r>
    </w:p>
    <w:p w14:paraId="4A68CF71">
      <w:pPr>
        <w:pStyle w:val="3"/>
        <w:spacing w:before="134"/>
        <w:ind w:left="225"/>
        <w:jc w:val="both"/>
      </w:pPr>
      <w:r>
        <w:rPr>
          <w:color w:val="231F20"/>
        </w:rPr>
        <w:t>expropriation decision;</w:t>
      </w:r>
    </w:p>
    <w:p w14:paraId="756988EA">
      <w:pPr>
        <w:pStyle w:val="6"/>
        <w:numPr>
          <w:ilvl w:val="0"/>
          <w:numId w:val="3"/>
        </w:numPr>
        <w:tabs>
          <w:tab w:val="left" w:pos="1006"/>
        </w:tabs>
        <w:spacing w:before="91" w:after="0" w:line="240" w:lineRule="auto"/>
        <w:ind w:left="1005" w:right="0" w:hanging="299"/>
        <w:jc w:val="both"/>
        <w:rPr>
          <w:sz w:val="21"/>
        </w:rPr>
      </w:pPr>
      <w:r>
        <w:rPr>
          <w:color w:val="231F20"/>
          <w:sz w:val="21"/>
        </w:rPr>
        <w:t>unless otherwise provided by laws or regulations.</w:t>
      </w:r>
    </w:p>
    <w:p w14:paraId="38661BA8">
      <w:pPr>
        <w:pStyle w:val="3"/>
        <w:keepNext w:val="0"/>
        <w:keepLines w:val="0"/>
        <w:pageBreakBefore w:val="0"/>
        <w:widowControl w:val="0"/>
        <w:kinsoku/>
        <w:wordWrap/>
        <w:overflowPunct/>
        <w:topLinePunct w:val="0"/>
        <w:autoSpaceDE w:val="0"/>
        <w:autoSpaceDN w:val="0"/>
        <w:bidi w:val="0"/>
        <w:adjustRightInd/>
        <w:snapToGrid/>
        <w:spacing w:before="0" w:line="332" w:lineRule="auto"/>
        <w:ind w:left="0" w:right="0" w:firstLine="642" w:firstLineChars="300"/>
        <w:jc w:val="both"/>
        <w:textAlignment w:val="auto"/>
      </w:pPr>
      <w:r>
        <w:rPr>
          <w:b/>
          <w:color w:val="231F20"/>
          <w:spacing w:val="2"/>
        </w:rPr>
        <w:t xml:space="preserve">Article </w:t>
      </w:r>
      <w:r>
        <w:rPr>
          <w:b/>
          <w:color w:val="231F20"/>
        </w:rPr>
        <w:t xml:space="preserve">37. </w:t>
      </w:r>
      <w:r>
        <w:rPr>
          <w:color w:val="231F20"/>
          <w:spacing w:val="2"/>
        </w:rPr>
        <w:t xml:space="preserve">Compensation </w:t>
      </w:r>
      <w:r>
        <w:rPr>
          <w:color w:val="231F20"/>
        </w:rPr>
        <w:t xml:space="preserve">for </w:t>
      </w:r>
      <w:r>
        <w:rPr>
          <w:color w:val="231F20"/>
          <w:spacing w:val="2"/>
        </w:rPr>
        <w:t xml:space="preserve">loss </w:t>
      </w:r>
      <w:r>
        <w:rPr>
          <w:color w:val="231F20"/>
        </w:rPr>
        <w:t xml:space="preserve">of </w:t>
      </w:r>
      <w:r>
        <w:rPr>
          <w:color w:val="231F20"/>
          <w:spacing w:val="2"/>
        </w:rPr>
        <w:t xml:space="preserve">production </w:t>
      </w:r>
      <w:r>
        <w:rPr>
          <w:color w:val="231F20"/>
        </w:rPr>
        <w:t xml:space="preserve">or </w:t>
      </w:r>
      <w:r>
        <w:rPr>
          <w:color w:val="231F20"/>
          <w:spacing w:val="2"/>
        </w:rPr>
        <w:t xml:space="preserve">business stop shall </w:t>
      </w:r>
      <w:r>
        <w:rPr>
          <w:color w:val="231F20"/>
        </w:rPr>
        <w:t xml:space="preserve">be </w:t>
      </w:r>
      <w:r>
        <w:rPr>
          <w:color w:val="231F20"/>
          <w:spacing w:val="2"/>
        </w:rPr>
        <w:t xml:space="preserve">determined </w:t>
      </w:r>
      <w:r>
        <w:rPr>
          <w:color w:val="231F20"/>
          <w:spacing w:val="3"/>
        </w:rPr>
        <w:t xml:space="preserve">on </w:t>
      </w:r>
      <w:r>
        <w:rPr>
          <w:color w:val="231F20"/>
        </w:rPr>
        <w:t>the basis of operating efficiency, tax payment certificates, time limit for production or business closure and similar factors. Compensation may also be made on the basis of a certain proportion of the assessed value of the expropriated building or on the basis of the standards approved for the building area. The specific standards shall be formulated by the people’s government at the city or county level.</w:t>
      </w:r>
    </w:p>
    <w:p w14:paraId="32F26A07">
      <w:pPr>
        <w:pStyle w:val="3"/>
        <w:keepNext w:val="0"/>
        <w:keepLines w:val="0"/>
        <w:pageBreakBefore w:val="0"/>
        <w:widowControl w:val="0"/>
        <w:kinsoku/>
        <w:wordWrap/>
        <w:overflowPunct/>
        <w:topLinePunct w:val="0"/>
        <w:autoSpaceDE w:val="0"/>
        <w:autoSpaceDN w:val="0"/>
        <w:bidi w:val="0"/>
        <w:adjustRightInd/>
        <w:snapToGrid/>
        <w:spacing w:before="0" w:line="332" w:lineRule="auto"/>
        <w:ind w:left="0" w:right="0" w:firstLine="630" w:firstLineChars="300"/>
        <w:jc w:val="both"/>
        <w:textAlignment w:val="auto"/>
        <w:rPr>
          <w:color w:val="231F20"/>
        </w:rPr>
      </w:pPr>
      <w:r>
        <w:rPr>
          <w:b/>
          <w:color w:val="231F20"/>
        </w:rPr>
        <w:t xml:space="preserve">Article 38. </w:t>
      </w:r>
      <w:r>
        <w:rPr>
          <w:color w:val="231F20"/>
        </w:rPr>
        <w:t xml:space="preserve">Where the expropriated building has been registered, its nature, use and building area shall generally be based on the records of the real estate title certificate the real estate register. If the real estate title certificate is inconsistent with the real estate register, the real estate register shall prevail unless there is evidence to prove that there is indeed an error in the real estate register. The building not registered shall be evaluated in accordance with the determination and handling results by the relevant departments organized by the people's government at the city or county level. </w:t>
      </w:r>
    </w:p>
    <w:p w14:paraId="04705C37">
      <w:pPr>
        <w:pStyle w:val="3"/>
        <w:keepNext w:val="0"/>
        <w:keepLines w:val="0"/>
        <w:pageBreakBefore w:val="0"/>
        <w:widowControl w:val="0"/>
        <w:kinsoku/>
        <w:wordWrap/>
        <w:overflowPunct/>
        <w:topLinePunct w:val="0"/>
        <w:autoSpaceDE w:val="0"/>
        <w:autoSpaceDN w:val="0"/>
        <w:bidi w:val="0"/>
        <w:adjustRightInd/>
        <w:snapToGrid/>
        <w:spacing w:before="0" w:line="332" w:lineRule="auto"/>
        <w:ind w:left="0" w:right="0" w:firstLine="630" w:firstLineChars="300"/>
        <w:jc w:val="both"/>
        <w:textAlignment w:val="auto"/>
      </w:pPr>
      <w:r>
        <w:rPr>
          <w:b/>
          <w:color w:val="231F20"/>
        </w:rPr>
        <w:t xml:space="preserve">Article 39. </w:t>
      </w:r>
      <w:r>
        <w:rPr>
          <w:color w:val="231F20"/>
        </w:rPr>
        <w:t>Where an unregistered building has been recognized as a legal building,compensation shall be given; as for temporary buildings not beyond the approval period, compensation shall be made in accordance with the construction costs in combination with the condition; No compensation shall be made to temporary buildings deemed illegal or beyond the approval period.</w:t>
      </w:r>
    </w:p>
    <w:p w14:paraId="23766B2A">
      <w:pPr>
        <w:pStyle w:val="3"/>
        <w:keepNext w:val="0"/>
        <w:keepLines w:val="0"/>
        <w:pageBreakBefore w:val="0"/>
        <w:widowControl w:val="0"/>
        <w:kinsoku/>
        <w:wordWrap/>
        <w:overflowPunct/>
        <w:topLinePunct w:val="0"/>
        <w:autoSpaceDE w:val="0"/>
        <w:autoSpaceDN w:val="0"/>
        <w:bidi w:val="0"/>
        <w:adjustRightInd/>
        <w:snapToGrid/>
        <w:spacing w:before="0" w:line="332" w:lineRule="auto"/>
        <w:ind w:right="0" w:firstLine="630" w:firstLineChars="300"/>
        <w:jc w:val="both"/>
        <w:textAlignment w:val="auto"/>
      </w:pPr>
      <w:r>
        <w:rPr>
          <w:b/>
          <w:color w:val="231F20"/>
        </w:rPr>
        <w:t xml:space="preserve">Article 40. </w:t>
      </w:r>
      <w:r>
        <w:rPr>
          <w:color w:val="231F20"/>
        </w:rPr>
        <w:t>Where the expropriated residential building is actually used for business purposes, compensation shall be made as residence, and economic subsidies may be granted in accordance with the actual situation. The specific subsidy measures shall be formulated by the people’s government at the city or county level.</w:t>
      </w:r>
    </w:p>
    <w:p w14:paraId="6DC443EE">
      <w:pPr>
        <w:pStyle w:val="3"/>
        <w:spacing w:before="3" w:line="331" w:lineRule="auto"/>
        <w:ind w:right="238" w:firstLine="630" w:firstLineChars="300"/>
        <w:jc w:val="both"/>
      </w:pPr>
      <w:r>
        <w:rPr>
          <w:b/>
          <w:color w:val="231F20"/>
        </w:rPr>
        <w:t xml:space="preserve">Article 41. </w:t>
      </w:r>
      <w:r>
        <w:rPr>
          <w:color w:val="231F20"/>
        </w:rPr>
        <w:t xml:space="preserve">Where building loss occurs due to force majeure, such as natural disasters, before the </w:t>
      </w:r>
      <w:r>
        <w:rPr>
          <w:color w:val="231F20"/>
          <w:spacing w:val="2"/>
        </w:rPr>
        <w:t xml:space="preserve">decision </w:t>
      </w:r>
      <w:r>
        <w:rPr>
          <w:color w:val="231F20"/>
        </w:rPr>
        <w:t xml:space="preserve">on the </w:t>
      </w:r>
      <w:r>
        <w:rPr>
          <w:color w:val="231F20"/>
          <w:spacing w:val="2"/>
        </w:rPr>
        <w:t xml:space="preserve">building expropriation </w:t>
      </w:r>
      <w:r>
        <w:rPr>
          <w:color w:val="231F20"/>
        </w:rPr>
        <w:t xml:space="preserve">is  </w:t>
      </w:r>
      <w:r>
        <w:rPr>
          <w:color w:val="231F20"/>
          <w:spacing w:val="2"/>
        </w:rPr>
        <w:t xml:space="preserve">made, </w:t>
      </w:r>
      <w:r>
        <w:rPr>
          <w:color w:val="231F20"/>
        </w:rPr>
        <w:t xml:space="preserve">and  the  </w:t>
      </w:r>
      <w:r>
        <w:rPr>
          <w:color w:val="231F20"/>
          <w:spacing w:val="2"/>
        </w:rPr>
        <w:t xml:space="preserve">reconstruction cannot </w:t>
      </w:r>
      <w:r>
        <w:rPr>
          <w:color w:val="231F20"/>
        </w:rPr>
        <w:t xml:space="preserve">be  </w:t>
      </w:r>
      <w:r>
        <w:rPr>
          <w:color w:val="231F20"/>
          <w:spacing w:val="2"/>
        </w:rPr>
        <w:t xml:space="preserve">done </w:t>
      </w:r>
      <w:r>
        <w:rPr>
          <w:color w:val="231F20"/>
          <w:spacing w:val="3"/>
        </w:rPr>
        <w:t xml:space="preserve">due </w:t>
      </w:r>
      <w:r>
        <w:rPr>
          <w:color w:val="231F20"/>
        </w:rPr>
        <w:t xml:space="preserve">to the proposed expropriation of building, compensation shall be made in conjunction with </w:t>
      </w:r>
      <w:r>
        <w:rPr>
          <w:color w:val="231F20"/>
          <w:spacing w:val="2"/>
        </w:rPr>
        <w:t xml:space="preserve">the </w:t>
      </w:r>
      <w:r>
        <w:rPr>
          <w:color w:val="231F20"/>
        </w:rPr>
        <w:t>information on the use, area and related image data specified in the real estate title</w:t>
      </w:r>
      <w:r>
        <w:rPr>
          <w:color w:val="231F20"/>
          <w:spacing w:val="-19"/>
        </w:rPr>
        <w:t xml:space="preserve"> </w:t>
      </w:r>
      <w:r>
        <w:rPr>
          <w:color w:val="231F20"/>
        </w:rPr>
        <w:t>certificate.</w:t>
      </w:r>
    </w:p>
    <w:p w14:paraId="373DF966">
      <w:pPr>
        <w:pStyle w:val="3"/>
        <w:spacing w:before="3" w:line="331" w:lineRule="auto"/>
        <w:ind w:right="241" w:firstLine="630" w:firstLineChars="300"/>
        <w:jc w:val="both"/>
      </w:pPr>
      <w:r>
        <w:rPr>
          <w:color w:val="231F20"/>
        </w:rPr>
        <w:t>Where the building loss occurs due to the fault of the expropriated person after the decision on the building expropriation is made, the value of the building shall be</w:t>
      </w:r>
      <w:r>
        <w:rPr>
          <w:color w:val="231F20"/>
          <w:spacing w:val="-3"/>
        </w:rPr>
        <w:t xml:space="preserve"> </w:t>
      </w:r>
      <w:r>
        <w:rPr>
          <w:color w:val="231F20"/>
        </w:rPr>
        <w:t>compensated.</w:t>
      </w:r>
    </w:p>
    <w:p w14:paraId="41FCDBAB">
      <w:pPr>
        <w:pStyle w:val="3"/>
        <w:spacing w:before="1" w:line="331" w:lineRule="auto"/>
        <w:ind w:right="234" w:firstLine="444" w:firstLineChars="200"/>
        <w:jc w:val="both"/>
      </w:pPr>
      <w:r>
        <w:rPr>
          <w:b/>
          <w:color w:val="231F20"/>
          <w:spacing w:val="6"/>
        </w:rPr>
        <w:t xml:space="preserve">Article </w:t>
      </w:r>
      <w:r>
        <w:rPr>
          <w:b/>
          <w:color w:val="231F20"/>
          <w:spacing w:val="5"/>
        </w:rPr>
        <w:t xml:space="preserve">42. </w:t>
      </w:r>
      <w:r>
        <w:rPr>
          <w:color w:val="231F20"/>
          <w:spacing w:val="4"/>
        </w:rPr>
        <w:t xml:space="preserve">If </w:t>
      </w:r>
      <w:r>
        <w:rPr>
          <w:color w:val="231F20"/>
          <w:spacing w:val="5"/>
        </w:rPr>
        <w:t xml:space="preserve">the </w:t>
      </w:r>
      <w:r>
        <w:rPr>
          <w:color w:val="231F20"/>
          <w:spacing w:val="6"/>
        </w:rPr>
        <w:t xml:space="preserve">owner </w:t>
      </w:r>
      <w:r>
        <w:rPr>
          <w:color w:val="231F20"/>
          <w:spacing w:val="4"/>
        </w:rPr>
        <w:t xml:space="preserve">of </w:t>
      </w:r>
      <w:r>
        <w:rPr>
          <w:color w:val="231F20"/>
          <w:spacing w:val="5"/>
        </w:rPr>
        <w:t xml:space="preserve">the </w:t>
      </w:r>
      <w:r>
        <w:rPr>
          <w:color w:val="231F20"/>
          <w:spacing w:val="7"/>
        </w:rPr>
        <w:t xml:space="preserve">expropriated building </w:t>
      </w:r>
      <w:r>
        <w:rPr>
          <w:color w:val="231F20"/>
          <w:spacing w:val="4"/>
        </w:rPr>
        <w:t xml:space="preserve">is </w:t>
      </w:r>
      <w:r>
        <w:rPr>
          <w:color w:val="231F20"/>
          <w:spacing w:val="5"/>
        </w:rPr>
        <w:t xml:space="preserve">not clear, the </w:t>
      </w:r>
      <w:r>
        <w:rPr>
          <w:color w:val="231F20"/>
          <w:spacing w:val="6"/>
        </w:rPr>
        <w:t xml:space="preserve">local </w:t>
      </w:r>
      <w:r>
        <w:rPr>
          <w:color w:val="231F20"/>
          <w:spacing w:val="8"/>
        </w:rPr>
        <w:t xml:space="preserve">people's </w:t>
      </w:r>
      <w:r>
        <w:rPr>
          <w:color w:val="231F20"/>
          <w:spacing w:val="3"/>
        </w:rPr>
        <w:t xml:space="preserve">government </w:t>
      </w:r>
      <w:r>
        <w:rPr>
          <w:color w:val="231F20"/>
        </w:rPr>
        <w:t xml:space="preserve">may, in </w:t>
      </w:r>
      <w:r>
        <w:rPr>
          <w:color w:val="231F20"/>
          <w:spacing w:val="3"/>
        </w:rPr>
        <w:t xml:space="preserve">accordance with </w:t>
      </w:r>
      <w:r>
        <w:rPr>
          <w:color w:val="231F20"/>
          <w:spacing w:val="2"/>
        </w:rPr>
        <w:t xml:space="preserve">the </w:t>
      </w:r>
      <w:r>
        <w:rPr>
          <w:color w:val="231F20"/>
          <w:spacing w:val="3"/>
        </w:rPr>
        <w:t xml:space="preserve">agreement </w:t>
      </w:r>
      <w:r>
        <w:rPr>
          <w:color w:val="231F20"/>
        </w:rPr>
        <w:t xml:space="preserve">on </w:t>
      </w:r>
      <w:r>
        <w:rPr>
          <w:color w:val="231F20"/>
          <w:spacing w:val="2"/>
        </w:rPr>
        <w:t xml:space="preserve">the </w:t>
      </w:r>
      <w:r>
        <w:rPr>
          <w:color w:val="231F20"/>
          <w:spacing w:val="3"/>
        </w:rPr>
        <w:t xml:space="preserve">sale </w:t>
      </w:r>
      <w:r>
        <w:rPr>
          <w:color w:val="231F20"/>
          <w:spacing w:val="2"/>
        </w:rPr>
        <w:t xml:space="preserve">and </w:t>
      </w:r>
      <w:r>
        <w:rPr>
          <w:color w:val="231F20"/>
          <w:spacing w:val="3"/>
        </w:rPr>
        <w:t xml:space="preserve">purchase </w:t>
      </w:r>
      <w:r>
        <w:rPr>
          <w:color w:val="231F20"/>
        </w:rPr>
        <w:t xml:space="preserve">of  </w:t>
      </w:r>
      <w:r>
        <w:rPr>
          <w:color w:val="231F20"/>
          <w:spacing w:val="2"/>
        </w:rPr>
        <w:t xml:space="preserve">the </w:t>
      </w:r>
      <w:r>
        <w:rPr>
          <w:color w:val="231F20"/>
          <w:spacing w:val="4"/>
        </w:rPr>
        <w:t xml:space="preserve">building,  </w:t>
      </w:r>
      <w:r>
        <w:rPr>
          <w:color w:val="231F20"/>
        </w:rPr>
        <w:t>the will and the materials provided by the sub-district office, community, neighborhood, etc., as evidence for carrying out the expropriation and compensation</w:t>
      </w:r>
      <w:r>
        <w:rPr>
          <w:color w:val="231F20"/>
          <w:spacing w:val="-1"/>
        </w:rPr>
        <w:t xml:space="preserve"> </w:t>
      </w:r>
      <w:r>
        <w:rPr>
          <w:color w:val="231F20"/>
        </w:rPr>
        <w:t>work.</w:t>
      </w:r>
    </w:p>
    <w:p w14:paraId="056F2AAA">
      <w:pPr>
        <w:pStyle w:val="3"/>
        <w:spacing w:before="3" w:line="331" w:lineRule="auto"/>
        <w:ind w:right="242" w:firstLine="630" w:firstLineChars="300"/>
        <w:jc w:val="both"/>
      </w:pPr>
      <w:r>
        <w:rPr>
          <w:b/>
          <w:color w:val="231F20"/>
        </w:rPr>
        <w:t xml:space="preserve">Article 43. </w:t>
      </w:r>
      <w:r>
        <w:rPr>
          <w:color w:val="231F20"/>
        </w:rPr>
        <w:t>Where the delivered administrative document for the building expropriation or the household evaluation report is refused by the expropriated person, the representatives of the sub- district office (community) or his entity shall be invited to the site to explain the situation, state the</w:t>
      </w:r>
    </w:p>
    <w:p w14:paraId="18FEC0DC">
      <w:pPr>
        <w:pStyle w:val="3"/>
        <w:spacing w:before="91" w:line="376" w:lineRule="auto"/>
        <w:ind w:right="240"/>
        <w:jc w:val="both"/>
      </w:pPr>
      <w:r>
        <w:rPr>
          <w:color w:val="231F20"/>
        </w:rPr>
        <w:t>reasons</w:t>
      </w:r>
      <w:r>
        <w:rPr>
          <w:color w:val="231F20"/>
          <w:spacing w:val="-3"/>
        </w:rPr>
        <w:t xml:space="preserve"> </w:t>
      </w:r>
      <w:r>
        <w:rPr>
          <w:color w:val="231F20"/>
        </w:rPr>
        <w:t>and</w:t>
      </w:r>
      <w:r>
        <w:rPr>
          <w:color w:val="231F20"/>
          <w:spacing w:val="-2"/>
        </w:rPr>
        <w:t xml:space="preserve"> </w:t>
      </w:r>
      <w:r>
        <w:rPr>
          <w:color w:val="231F20"/>
        </w:rPr>
        <w:t>dates</w:t>
      </w:r>
      <w:r>
        <w:rPr>
          <w:color w:val="231F20"/>
          <w:spacing w:val="-3"/>
        </w:rPr>
        <w:t xml:space="preserve"> </w:t>
      </w:r>
      <w:r>
        <w:rPr>
          <w:color w:val="231F20"/>
        </w:rPr>
        <w:t>of</w:t>
      </w:r>
      <w:r>
        <w:rPr>
          <w:color w:val="231F20"/>
          <w:spacing w:val="-2"/>
        </w:rPr>
        <w:t xml:space="preserve"> </w:t>
      </w:r>
      <w:r>
        <w:rPr>
          <w:color w:val="231F20"/>
        </w:rPr>
        <w:t>the</w:t>
      </w:r>
      <w:r>
        <w:rPr>
          <w:color w:val="231F20"/>
          <w:spacing w:val="-2"/>
        </w:rPr>
        <w:t xml:space="preserve"> </w:t>
      </w:r>
      <w:r>
        <w:rPr>
          <w:color w:val="231F20"/>
        </w:rPr>
        <w:t>refusal</w:t>
      </w:r>
      <w:r>
        <w:rPr>
          <w:color w:val="231F20"/>
          <w:spacing w:val="-3"/>
        </w:rPr>
        <w:t xml:space="preserve"> </w:t>
      </w:r>
      <w:r>
        <w:rPr>
          <w:color w:val="231F20"/>
        </w:rPr>
        <w:t>on</w:t>
      </w:r>
      <w:r>
        <w:rPr>
          <w:color w:val="231F20"/>
          <w:spacing w:val="-2"/>
        </w:rPr>
        <w:t xml:space="preserve"> </w:t>
      </w:r>
      <w:r>
        <w:rPr>
          <w:color w:val="231F20"/>
        </w:rPr>
        <w:t>the</w:t>
      </w:r>
      <w:r>
        <w:rPr>
          <w:color w:val="231F20"/>
          <w:spacing w:val="-2"/>
        </w:rPr>
        <w:t xml:space="preserve"> </w:t>
      </w:r>
      <w:r>
        <w:rPr>
          <w:color w:val="231F20"/>
        </w:rPr>
        <w:t>certificate</w:t>
      </w:r>
      <w:r>
        <w:rPr>
          <w:color w:val="231F20"/>
          <w:spacing w:val="-3"/>
        </w:rPr>
        <w:t xml:space="preserve"> </w:t>
      </w:r>
      <w:r>
        <w:rPr>
          <w:color w:val="231F20"/>
        </w:rPr>
        <w:t>of</w:t>
      </w:r>
      <w:r>
        <w:rPr>
          <w:color w:val="231F20"/>
          <w:spacing w:val="-2"/>
        </w:rPr>
        <w:t xml:space="preserve"> </w:t>
      </w:r>
      <w:r>
        <w:rPr>
          <w:color w:val="231F20"/>
        </w:rPr>
        <w:t>delivery,</w:t>
      </w:r>
      <w:r>
        <w:rPr>
          <w:color w:val="231F20"/>
          <w:spacing w:val="-2"/>
        </w:rPr>
        <w:t xml:space="preserve"> </w:t>
      </w:r>
      <w:r>
        <w:rPr>
          <w:color w:val="231F20"/>
        </w:rPr>
        <w:t>with</w:t>
      </w:r>
      <w:r>
        <w:rPr>
          <w:color w:val="231F20"/>
          <w:spacing w:val="-3"/>
        </w:rPr>
        <w:t xml:space="preserve"> </w:t>
      </w:r>
      <w:r>
        <w:rPr>
          <w:color w:val="231F20"/>
        </w:rPr>
        <w:t>signature</w:t>
      </w:r>
      <w:r>
        <w:rPr>
          <w:color w:val="231F20"/>
          <w:spacing w:val="-2"/>
        </w:rPr>
        <w:t xml:space="preserve"> </w:t>
      </w:r>
      <w:r>
        <w:rPr>
          <w:color w:val="231F20"/>
        </w:rPr>
        <w:t>or</w:t>
      </w:r>
      <w:r>
        <w:rPr>
          <w:color w:val="231F20"/>
          <w:spacing w:val="-2"/>
        </w:rPr>
        <w:t xml:space="preserve"> </w:t>
      </w:r>
      <w:r>
        <w:rPr>
          <w:color w:val="231F20"/>
        </w:rPr>
        <w:t>stamp</w:t>
      </w:r>
      <w:r>
        <w:rPr>
          <w:color w:val="231F20"/>
          <w:spacing w:val="-3"/>
        </w:rPr>
        <w:t xml:space="preserve"> </w:t>
      </w:r>
      <w:r>
        <w:rPr>
          <w:color w:val="231F20"/>
        </w:rPr>
        <w:t>of</w:t>
      </w:r>
      <w:r>
        <w:rPr>
          <w:color w:val="231F20"/>
          <w:spacing w:val="-2"/>
        </w:rPr>
        <w:t xml:space="preserve"> </w:t>
      </w:r>
      <w:r>
        <w:rPr>
          <w:color w:val="231F20"/>
        </w:rPr>
        <w:t>the</w:t>
      </w:r>
      <w:r>
        <w:rPr>
          <w:color w:val="231F20"/>
          <w:spacing w:val="-2"/>
        </w:rPr>
        <w:t xml:space="preserve"> </w:t>
      </w:r>
      <w:r>
        <w:rPr>
          <w:color w:val="231F20"/>
        </w:rPr>
        <w:t xml:space="preserve">delivery </w:t>
      </w:r>
      <w:r>
        <w:rPr>
          <w:color w:val="231F20"/>
          <w:spacing w:val="2"/>
        </w:rPr>
        <w:t xml:space="preserve">person </w:t>
      </w:r>
      <w:r>
        <w:rPr>
          <w:color w:val="231F20"/>
        </w:rPr>
        <w:t xml:space="preserve">or </w:t>
      </w:r>
      <w:r>
        <w:rPr>
          <w:color w:val="231F20"/>
          <w:spacing w:val="2"/>
        </w:rPr>
        <w:t xml:space="preserve">witness, </w:t>
      </w:r>
      <w:r>
        <w:rPr>
          <w:color w:val="231F20"/>
        </w:rPr>
        <w:t xml:space="preserve">or </w:t>
      </w:r>
      <w:r>
        <w:rPr>
          <w:color w:val="231F20"/>
          <w:spacing w:val="2"/>
        </w:rPr>
        <w:t xml:space="preserve">with the delivery process recorded </w:t>
      </w:r>
      <w:r>
        <w:rPr>
          <w:color w:val="231F20"/>
        </w:rPr>
        <w:t xml:space="preserve">by </w:t>
      </w:r>
      <w:r>
        <w:rPr>
          <w:color w:val="231F20"/>
          <w:spacing w:val="3"/>
        </w:rPr>
        <w:t xml:space="preserve">means </w:t>
      </w:r>
      <w:r>
        <w:rPr>
          <w:color w:val="231F20"/>
        </w:rPr>
        <w:t xml:space="preserve">of </w:t>
      </w:r>
      <w:r>
        <w:rPr>
          <w:color w:val="231F20"/>
          <w:spacing w:val="2"/>
        </w:rPr>
        <w:t xml:space="preserve">photographing </w:t>
      </w:r>
      <w:r>
        <w:rPr>
          <w:color w:val="231F20"/>
        </w:rPr>
        <w:t xml:space="preserve">or </w:t>
      </w:r>
      <w:r>
        <w:rPr>
          <w:color w:val="231F20"/>
          <w:spacing w:val="3"/>
        </w:rPr>
        <w:t xml:space="preserve">video </w:t>
      </w:r>
      <w:r>
        <w:rPr>
          <w:color w:val="231F20"/>
        </w:rPr>
        <w:t>recording.</w:t>
      </w:r>
    </w:p>
    <w:p w14:paraId="03B44021">
      <w:pPr>
        <w:pStyle w:val="3"/>
        <w:spacing w:line="376" w:lineRule="auto"/>
        <w:ind w:right="243" w:firstLine="630" w:firstLineChars="300"/>
        <w:jc w:val="both"/>
      </w:pPr>
      <w:r>
        <w:rPr>
          <w:color w:val="231F20"/>
        </w:rPr>
        <w:t>In case of delivery failure by other means, the announcement shall be made on the building expropriation department or the government website, and posted on the prominent position within the scope of the building expropriation, with representatives of the sub-district office (community) invited as witness.</w:t>
      </w:r>
    </w:p>
    <w:p w14:paraId="611A191B">
      <w:pPr>
        <w:pStyle w:val="3"/>
        <w:spacing w:line="376" w:lineRule="auto"/>
        <w:ind w:right="238" w:firstLine="630" w:firstLineChars="300"/>
        <w:jc w:val="both"/>
      </w:pPr>
      <w:r>
        <w:rPr>
          <w:b/>
          <w:color w:val="231F20"/>
        </w:rPr>
        <w:t xml:space="preserve">Article 44. </w:t>
      </w:r>
      <w:r>
        <w:rPr>
          <w:color w:val="231F20"/>
        </w:rPr>
        <w:t>The expropriated person who signs the contract within the time limit determined by the expropriation compensation program and moves voluntarily within the agreed time limit shall be rewarded. Specific policies of reward shall be formulated by the people's government at the city or county level in the light of actual</w:t>
      </w:r>
      <w:r>
        <w:rPr>
          <w:color w:val="231F20"/>
          <w:spacing w:val="-2"/>
        </w:rPr>
        <w:t xml:space="preserve"> </w:t>
      </w:r>
      <w:r>
        <w:rPr>
          <w:color w:val="231F20"/>
        </w:rPr>
        <w:t>situations.</w:t>
      </w:r>
    </w:p>
    <w:p w14:paraId="0C4EC9DF">
      <w:pPr>
        <w:pStyle w:val="3"/>
        <w:spacing w:line="376" w:lineRule="auto"/>
        <w:ind w:right="235" w:firstLine="630" w:firstLineChars="300"/>
        <w:jc w:val="both"/>
      </w:pPr>
      <w:r>
        <w:rPr>
          <w:b/>
          <w:color w:val="231F20"/>
        </w:rPr>
        <w:t xml:space="preserve">Article 45. </w:t>
      </w:r>
      <w:r>
        <w:rPr>
          <w:color w:val="231F20"/>
        </w:rPr>
        <w:t>If a compensation agreement cannot be reached by the building expropriation department and an owner within the contracting period as determined in the expropriation and compensation plan, or the owner of the building to be expropriated is unclear, the building expropriation department shall report it to the people's government at the city or county level which makes the building expropriation decision for making a compensation decision under the expropriation and compensation plan, which shall be announced within the scope of expropriation. The compensation decision shall be made within six months since the expiration of reaching agreement.</w:t>
      </w:r>
    </w:p>
    <w:p w14:paraId="0E1CB7AA">
      <w:pPr>
        <w:pStyle w:val="3"/>
        <w:keepNext w:val="0"/>
        <w:keepLines w:val="0"/>
        <w:pageBreakBefore w:val="0"/>
        <w:widowControl w:val="0"/>
        <w:kinsoku/>
        <w:wordWrap/>
        <w:overflowPunct/>
        <w:topLinePunct w:val="0"/>
        <w:autoSpaceDE w:val="0"/>
        <w:autoSpaceDN w:val="0"/>
        <w:bidi w:val="0"/>
        <w:adjustRightInd/>
        <w:snapToGrid/>
        <w:spacing w:line="232" w:lineRule="exact"/>
        <w:ind w:firstLine="630" w:firstLineChars="300"/>
        <w:jc w:val="both"/>
        <w:textAlignment w:val="auto"/>
      </w:pPr>
      <w:r>
        <w:rPr>
          <w:color w:val="231F20"/>
        </w:rPr>
        <w:t>An owner who disagrees on a compensation decision may apply for administrative</w:t>
      </w:r>
      <w:r>
        <w:rPr>
          <w:rFonts w:hint="eastAsia" w:eastAsia="宋体"/>
          <w:color w:val="231F20"/>
          <w:lang w:val="en-US" w:eastAsia="zh-CN"/>
        </w:rPr>
        <w:t xml:space="preserve"> </w:t>
      </w:r>
      <w:r>
        <w:rPr>
          <w:color w:val="231F20"/>
        </w:rPr>
        <w:t>reconsideration or file an administrative lawsuit in accordance with law.</w:t>
      </w:r>
    </w:p>
    <w:p w14:paraId="48CAC101">
      <w:pPr>
        <w:pStyle w:val="3"/>
        <w:spacing w:before="137" w:line="376" w:lineRule="auto"/>
        <w:ind w:right="238" w:firstLine="630" w:firstLineChars="300"/>
        <w:jc w:val="both"/>
      </w:pPr>
      <w:r>
        <w:rPr>
          <w:b/>
          <w:color w:val="231F20"/>
        </w:rPr>
        <w:t xml:space="preserve">Article 46. </w:t>
      </w:r>
      <w:r>
        <w:rPr>
          <w:color w:val="231F20"/>
        </w:rPr>
        <w:t>Where an owner does not apply for administrative reconsideration or file an administrative lawsuit within the statutory time limit and fails to relocate within the time limit as determined in the compensation decision, the people's government at the city or county level which makes the building expropriation decision shall apply to the people's court for enforcement in accordance with law.</w:t>
      </w:r>
    </w:p>
    <w:p w14:paraId="302C160F">
      <w:pPr>
        <w:pStyle w:val="3"/>
        <w:spacing w:line="376" w:lineRule="auto"/>
        <w:ind w:right="234" w:firstLine="630" w:firstLineChars="300"/>
        <w:jc w:val="both"/>
      </w:pPr>
      <w:r>
        <w:rPr>
          <w:color w:val="231F20"/>
        </w:rPr>
        <w:t>Documents on the compensation amount, account number of the related special deposit account, location and area of the building provided for exchange of titles or the temporary dwelling, etc. shall be attached to the written application for enforcement.</w:t>
      </w:r>
    </w:p>
    <w:p w14:paraId="32053CF0">
      <w:pPr>
        <w:pStyle w:val="3"/>
        <w:spacing w:line="376" w:lineRule="auto"/>
        <w:ind w:right="241" w:firstLine="630" w:firstLineChars="300"/>
        <w:jc w:val="both"/>
      </w:pPr>
      <w:r>
        <w:rPr>
          <w:b/>
          <w:color w:val="231F20"/>
        </w:rPr>
        <w:t xml:space="preserve">Article 47. </w:t>
      </w:r>
      <w:r>
        <w:rPr>
          <w:color w:val="231F20"/>
        </w:rPr>
        <w:t xml:space="preserve">No entity or individual shall force an owner to relocate by violence or threat, by cutting off the supply of </w:t>
      </w:r>
      <w:r>
        <w:rPr>
          <w:color w:val="231F20"/>
          <w:spacing w:val="-3"/>
        </w:rPr>
        <w:t xml:space="preserve">water, </w:t>
      </w:r>
      <w:r>
        <w:rPr>
          <w:color w:val="231F20"/>
        </w:rPr>
        <w:t>heating, gas or electricity or road passage in violation of the relevant</w:t>
      </w:r>
    </w:p>
    <w:p w14:paraId="5896FB06">
      <w:pPr>
        <w:pStyle w:val="3"/>
        <w:spacing w:before="91" w:line="376" w:lineRule="auto"/>
        <w:ind w:right="242"/>
        <w:jc w:val="both"/>
      </w:pPr>
      <w:r>
        <w:rPr>
          <w:color w:val="231F20"/>
        </w:rPr>
        <w:t>provisions or by any other illegal means. Construction entities shall be prohibited from involvement in relocation activities.</w:t>
      </w:r>
    </w:p>
    <w:p w14:paraId="33A68643">
      <w:pPr>
        <w:pStyle w:val="3"/>
        <w:spacing w:before="2" w:line="376" w:lineRule="auto"/>
        <w:ind w:right="241" w:firstLine="630" w:firstLineChars="300"/>
        <w:jc w:val="both"/>
      </w:pPr>
      <w:r>
        <w:rPr>
          <w:b/>
          <w:color w:val="231F20"/>
        </w:rPr>
        <w:t xml:space="preserve">Article 48. </w:t>
      </w:r>
      <w:r>
        <w:rPr>
          <w:color w:val="231F20"/>
        </w:rPr>
        <w:t>The building expropriation department shall establish building expropriation and compensation files in accordance with law, and announce the information on division of household and compensation to the owners within the scope of expropriation.</w:t>
      </w:r>
    </w:p>
    <w:p w14:paraId="0E843037">
      <w:pPr>
        <w:pStyle w:val="3"/>
        <w:keepNext w:val="0"/>
        <w:keepLines w:val="0"/>
        <w:pageBreakBefore w:val="0"/>
        <w:widowControl w:val="0"/>
        <w:kinsoku/>
        <w:wordWrap/>
        <w:overflowPunct/>
        <w:topLinePunct w:val="0"/>
        <w:autoSpaceDE w:val="0"/>
        <w:autoSpaceDN w:val="0"/>
        <w:bidi w:val="0"/>
        <w:adjustRightInd/>
        <w:snapToGrid/>
        <w:spacing w:before="0"/>
        <w:ind w:left="0" w:firstLine="630" w:firstLineChars="300"/>
        <w:jc w:val="both"/>
        <w:textAlignment w:val="auto"/>
      </w:pPr>
      <w:r>
        <w:rPr>
          <w:color w:val="231F20"/>
        </w:rPr>
        <w:t>The audit organ shall strengthen the supervision over the management and use of</w:t>
      </w:r>
      <w:r>
        <w:rPr>
          <w:rFonts w:hint="eastAsia" w:eastAsia="宋体"/>
          <w:color w:val="231F20"/>
          <w:lang w:val="en-US" w:eastAsia="zh-CN"/>
        </w:rPr>
        <w:t xml:space="preserve"> </w:t>
      </w:r>
      <w:r>
        <w:rPr>
          <w:color w:val="231F20"/>
        </w:rPr>
        <w:t>compensation fees for expropriation, and announce the audit results.</w:t>
      </w:r>
    </w:p>
    <w:p w14:paraId="339AF6AC">
      <w:pPr>
        <w:pStyle w:val="3"/>
        <w:jc w:val="both"/>
        <w:rPr>
          <w:sz w:val="22"/>
        </w:rPr>
      </w:pPr>
    </w:p>
    <w:p w14:paraId="6B0C5819">
      <w:pPr>
        <w:pStyle w:val="3"/>
        <w:spacing w:before="9"/>
        <w:jc w:val="both"/>
        <w:rPr>
          <w:sz w:val="22"/>
        </w:rPr>
      </w:pPr>
    </w:p>
    <w:p w14:paraId="7D1E2B49">
      <w:pPr>
        <w:pStyle w:val="2"/>
        <w:spacing w:before="1"/>
        <w:ind w:left="133" w:right="2987"/>
        <w:jc w:val="both"/>
      </w:pPr>
      <w:r>
        <w:rPr>
          <w:color w:val="231F20"/>
        </w:rPr>
        <w:t>Chapter V   Legal</w:t>
      </w:r>
      <w:r>
        <w:rPr>
          <w:color w:val="231F20"/>
          <w:spacing w:val="-20"/>
        </w:rPr>
        <w:t xml:space="preserve"> </w:t>
      </w:r>
      <w:r>
        <w:rPr>
          <w:color w:val="231F20"/>
        </w:rPr>
        <w:t>Liabilities</w:t>
      </w:r>
    </w:p>
    <w:p w14:paraId="21D6392C">
      <w:pPr>
        <w:pStyle w:val="3"/>
        <w:jc w:val="both"/>
        <w:rPr>
          <w:b/>
          <w:sz w:val="26"/>
        </w:rPr>
      </w:pPr>
    </w:p>
    <w:p w14:paraId="4ABB5E7B">
      <w:pPr>
        <w:pStyle w:val="3"/>
        <w:spacing w:before="188" w:line="376" w:lineRule="auto"/>
        <w:ind w:left="225" w:right="241" w:firstLine="481"/>
        <w:jc w:val="both"/>
      </w:pPr>
      <w:r>
        <w:rPr>
          <w:b/>
          <w:color w:val="231F20"/>
        </w:rPr>
        <w:t xml:space="preserve">Article 49. </w:t>
      </w:r>
      <w:r>
        <w:rPr>
          <w:color w:val="231F20"/>
        </w:rPr>
        <w:t>Where the provisions of the laws and administrative regulations stipulate legal liabilities for any act that violates the provisions of these Measures, such provisions shall apply.</w:t>
      </w:r>
    </w:p>
    <w:p w14:paraId="24E3170D">
      <w:pPr>
        <w:pStyle w:val="3"/>
        <w:spacing w:before="1" w:line="376" w:lineRule="auto"/>
        <w:ind w:left="225" w:right="241" w:firstLine="481"/>
        <w:jc w:val="both"/>
      </w:pPr>
      <w:r>
        <w:rPr>
          <w:b/>
          <w:color w:val="231F20"/>
        </w:rPr>
        <w:t xml:space="preserve">Article 50. </w:t>
      </w:r>
      <w:r>
        <w:rPr>
          <w:color w:val="231F20"/>
        </w:rPr>
        <w:t xml:space="preserve">Where, in violation of the provisions of these Measures, the people's government at the city or county level or its relevant department commits any of the following acts, the people's government at a higher level or the people's government at the corresponding level shall instruct     it to make corrections and circulate a notice of criticism; where losses are caused, compensation </w:t>
      </w:r>
      <w:r>
        <w:rPr>
          <w:color w:val="231F20"/>
          <w:spacing w:val="3"/>
        </w:rPr>
        <w:t xml:space="preserve">liabilities shall </w:t>
      </w:r>
      <w:r>
        <w:rPr>
          <w:color w:val="231F20"/>
        </w:rPr>
        <w:t xml:space="preserve">be </w:t>
      </w:r>
      <w:r>
        <w:rPr>
          <w:color w:val="231F20"/>
          <w:spacing w:val="3"/>
        </w:rPr>
        <w:t xml:space="preserve">borne </w:t>
      </w:r>
      <w:r>
        <w:rPr>
          <w:color w:val="231F20"/>
        </w:rPr>
        <w:t xml:space="preserve">in </w:t>
      </w:r>
      <w:r>
        <w:rPr>
          <w:color w:val="231F20"/>
          <w:spacing w:val="3"/>
        </w:rPr>
        <w:t xml:space="preserve">accordance with law; </w:t>
      </w:r>
      <w:r>
        <w:rPr>
          <w:color w:val="231F20"/>
          <w:spacing w:val="2"/>
        </w:rPr>
        <w:t xml:space="preserve">the </w:t>
      </w:r>
      <w:r>
        <w:rPr>
          <w:color w:val="231F20"/>
          <w:spacing w:val="3"/>
        </w:rPr>
        <w:t xml:space="preserve">directly responsible executive </w:t>
      </w:r>
      <w:r>
        <w:rPr>
          <w:color w:val="231F20"/>
          <w:spacing w:val="2"/>
        </w:rPr>
        <w:t xml:space="preserve">and </w:t>
      </w:r>
      <w:r>
        <w:rPr>
          <w:color w:val="231F20"/>
          <w:spacing w:val="4"/>
        </w:rPr>
        <w:t xml:space="preserve">other </w:t>
      </w:r>
      <w:r>
        <w:rPr>
          <w:color w:val="231F20"/>
        </w:rPr>
        <w:t>persons directly responsible shall be punished in accordance with law; where a crime is constituted, the criminal responsibility shall be investigated in accordance with</w:t>
      </w:r>
      <w:r>
        <w:rPr>
          <w:color w:val="231F20"/>
          <w:spacing w:val="-4"/>
        </w:rPr>
        <w:t xml:space="preserve"> </w:t>
      </w:r>
      <w:r>
        <w:rPr>
          <w:color w:val="231F20"/>
        </w:rPr>
        <w:t>law:</w:t>
      </w:r>
    </w:p>
    <w:p w14:paraId="5C7AB3AA">
      <w:pPr>
        <w:pStyle w:val="6"/>
        <w:numPr>
          <w:ilvl w:val="0"/>
          <w:numId w:val="4"/>
        </w:numPr>
        <w:tabs>
          <w:tab w:val="left" w:pos="1009"/>
        </w:tabs>
        <w:spacing w:before="7" w:after="0" w:line="240" w:lineRule="auto"/>
        <w:ind w:left="1008" w:right="0" w:hanging="302"/>
        <w:jc w:val="both"/>
        <w:rPr>
          <w:sz w:val="21"/>
        </w:rPr>
      </w:pPr>
      <w:r>
        <w:rPr>
          <w:color w:val="231F20"/>
          <w:sz w:val="21"/>
        </w:rPr>
        <w:t>making a building expropriation decision on a building expropriation project that does</w:t>
      </w:r>
      <w:r>
        <w:rPr>
          <w:color w:val="231F20"/>
          <w:spacing w:val="36"/>
          <w:sz w:val="21"/>
        </w:rPr>
        <w:t xml:space="preserve"> </w:t>
      </w:r>
      <w:r>
        <w:rPr>
          <w:color w:val="231F20"/>
          <w:sz w:val="21"/>
        </w:rPr>
        <w:t>not</w:t>
      </w:r>
    </w:p>
    <w:p w14:paraId="0B46AB56">
      <w:pPr>
        <w:pStyle w:val="3"/>
        <w:spacing w:before="138"/>
        <w:ind w:left="225"/>
        <w:jc w:val="both"/>
      </w:pPr>
      <w:r>
        <w:rPr>
          <w:color w:val="231F20"/>
        </w:rPr>
        <w:t>meet the statutory conditions;</w:t>
      </w:r>
    </w:p>
    <w:p w14:paraId="345AC6F8">
      <w:pPr>
        <w:pStyle w:val="6"/>
        <w:numPr>
          <w:ilvl w:val="0"/>
          <w:numId w:val="4"/>
        </w:numPr>
        <w:tabs>
          <w:tab w:val="left" w:pos="1033"/>
        </w:tabs>
        <w:spacing w:before="139" w:after="0" w:line="376" w:lineRule="auto"/>
        <w:ind w:left="225" w:right="243" w:firstLine="481"/>
        <w:jc w:val="both"/>
        <w:rPr>
          <w:sz w:val="21"/>
        </w:rPr>
      </w:pPr>
      <w:r>
        <w:rPr>
          <w:color w:val="231F20"/>
          <w:sz w:val="21"/>
        </w:rPr>
        <w:t xml:space="preserve">carrying out the building expropriation and compensation in violation of the statutory </w:t>
      </w:r>
      <w:r>
        <w:rPr>
          <w:color w:val="231F20"/>
          <w:spacing w:val="2"/>
          <w:sz w:val="21"/>
        </w:rPr>
        <w:t xml:space="preserve">procedures </w:t>
      </w:r>
      <w:r>
        <w:rPr>
          <w:color w:val="231F20"/>
          <w:sz w:val="21"/>
        </w:rPr>
        <w:t xml:space="preserve">of </w:t>
      </w:r>
      <w:r>
        <w:rPr>
          <w:color w:val="231F20"/>
          <w:spacing w:val="2"/>
          <w:sz w:val="21"/>
        </w:rPr>
        <w:t xml:space="preserve">disclosure, promulgation, public announcement, soliciting opinions, hearing </w:t>
      </w:r>
      <w:r>
        <w:rPr>
          <w:color w:val="231F20"/>
          <w:spacing w:val="3"/>
          <w:sz w:val="21"/>
        </w:rPr>
        <w:t xml:space="preserve">and </w:t>
      </w:r>
      <w:r>
        <w:rPr>
          <w:color w:val="231F20"/>
          <w:sz w:val="21"/>
        </w:rPr>
        <w:t>evaluation;</w:t>
      </w:r>
    </w:p>
    <w:p w14:paraId="095E5A21">
      <w:pPr>
        <w:pStyle w:val="6"/>
        <w:numPr>
          <w:ilvl w:val="0"/>
          <w:numId w:val="4"/>
        </w:numPr>
        <w:tabs>
          <w:tab w:val="left" w:pos="1022"/>
        </w:tabs>
        <w:spacing w:before="2" w:after="0" w:line="376" w:lineRule="auto"/>
        <w:ind w:left="225" w:right="241" w:firstLine="481"/>
        <w:jc w:val="both"/>
        <w:rPr>
          <w:sz w:val="21"/>
        </w:rPr>
      </w:pPr>
      <w:r>
        <w:rPr>
          <w:color w:val="231F20"/>
          <w:sz w:val="21"/>
        </w:rPr>
        <w:t>carrying out building expropriation and compensation in violation of the scope, contents and standards of statutory compensation for building</w:t>
      </w:r>
      <w:r>
        <w:rPr>
          <w:color w:val="231F20"/>
          <w:spacing w:val="-4"/>
          <w:sz w:val="21"/>
        </w:rPr>
        <w:t xml:space="preserve"> </w:t>
      </w:r>
      <w:r>
        <w:rPr>
          <w:color w:val="231F20"/>
          <w:sz w:val="21"/>
        </w:rPr>
        <w:t>expropriation;</w:t>
      </w:r>
    </w:p>
    <w:p w14:paraId="4A68DC05">
      <w:pPr>
        <w:pStyle w:val="6"/>
        <w:numPr>
          <w:ilvl w:val="0"/>
          <w:numId w:val="4"/>
        </w:numPr>
        <w:tabs>
          <w:tab w:val="left" w:pos="1047"/>
        </w:tabs>
        <w:spacing w:before="2" w:after="0" w:line="376" w:lineRule="auto"/>
        <w:ind w:left="225" w:right="234" w:firstLine="481"/>
        <w:jc w:val="both"/>
        <w:rPr>
          <w:sz w:val="21"/>
        </w:rPr>
      </w:pPr>
      <w:r>
        <w:rPr>
          <w:color w:val="231F20"/>
          <w:spacing w:val="5"/>
          <w:sz w:val="21"/>
        </w:rPr>
        <w:t xml:space="preserve">handling </w:t>
      </w:r>
      <w:r>
        <w:rPr>
          <w:color w:val="231F20"/>
          <w:spacing w:val="4"/>
          <w:sz w:val="21"/>
        </w:rPr>
        <w:t xml:space="preserve">the </w:t>
      </w:r>
      <w:r>
        <w:rPr>
          <w:color w:val="231F20"/>
          <w:spacing w:val="5"/>
          <w:sz w:val="21"/>
        </w:rPr>
        <w:t xml:space="preserve">formalities </w:t>
      </w:r>
      <w:r>
        <w:rPr>
          <w:color w:val="231F20"/>
          <w:spacing w:val="3"/>
          <w:sz w:val="21"/>
        </w:rPr>
        <w:t xml:space="preserve">of </w:t>
      </w:r>
      <w:r>
        <w:rPr>
          <w:color w:val="231F20"/>
          <w:spacing w:val="5"/>
          <w:sz w:val="21"/>
        </w:rPr>
        <w:t xml:space="preserve">relevant matters </w:t>
      </w:r>
      <w:r>
        <w:rPr>
          <w:color w:val="231F20"/>
          <w:spacing w:val="4"/>
          <w:sz w:val="21"/>
        </w:rPr>
        <w:t xml:space="preserve">that shall </w:t>
      </w:r>
      <w:r>
        <w:rPr>
          <w:color w:val="231F20"/>
          <w:spacing w:val="3"/>
          <w:sz w:val="21"/>
        </w:rPr>
        <w:t xml:space="preserve">be </w:t>
      </w:r>
      <w:r>
        <w:rPr>
          <w:color w:val="231F20"/>
          <w:spacing w:val="5"/>
          <w:sz w:val="21"/>
        </w:rPr>
        <w:t xml:space="preserve">suspended </w:t>
      </w:r>
      <w:r>
        <w:rPr>
          <w:color w:val="231F20"/>
          <w:spacing w:val="3"/>
          <w:sz w:val="21"/>
        </w:rPr>
        <w:t xml:space="preserve">in </w:t>
      </w:r>
      <w:r>
        <w:rPr>
          <w:color w:val="231F20"/>
          <w:spacing w:val="5"/>
          <w:sz w:val="21"/>
        </w:rPr>
        <w:t xml:space="preserve">violation </w:t>
      </w:r>
      <w:r>
        <w:rPr>
          <w:color w:val="231F20"/>
          <w:spacing w:val="6"/>
          <w:sz w:val="21"/>
        </w:rPr>
        <w:t>of</w:t>
      </w:r>
      <w:r>
        <w:rPr>
          <w:color w:val="231F20"/>
          <w:spacing w:val="64"/>
          <w:sz w:val="21"/>
        </w:rPr>
        <w:t xml:space="preserve"> </w:t>
      </w:r>
      <w:r>
        <w:rPr>
          <w:color w:val="231F20"/>
          <w:sz w:val="21"/>
        </w:rPr>
        <w:t>regulations;</w:t>
      </w:r>
    </w:p>
    <w:p w14:paraId="600CDBD8">
      <w:pPr>
        <w:pStyle w:val="6"/>
        <w:numPr>
          <w:ilvl w:val="0"/>
          <w:numId w:val="4"/>
        </w:numPr>
        <w:tabs>
          <w:tab w:val="left" w:pos="1006"/>
        </w:tabs>
        <w:spacing w:before="2" w:after="0" w:line="240" w:lineRule="auto"/>
        <w:ind w:left="1005" w:right="0" w:hanging="299"/>
        <w:jc w:val="both"/>
        <w:rPr>
          <w:sz w:val="21"/>
        </w:rPr>
      </w:pPr>
      <w:r>
        <w:rPr>
          <w:color w:val="231F20"/>
          <w:sz w:val="21"/>
        </w:rPr>
        <w:t>illegally intervening in the evaluation activities and results;</w:t>
      </w:r>
    </w:p>
    <w:p w14:paraId="346C2DFE">
      <w:pPr>
        <w:pStyle w:val="6"/>
        <w:numPr>
          <w:ilvl w:val="0"/>
          <w:numId w:val="4"/>
        </w:numPr>
        <w:tabs>
          <w:tab w:val="left" w:pos="1006"/>
        </w:tabs>
        <w:spacing w:before="138" w:after="0" w:line="240" w:lineRule="auto"/>
        <w:ind w:left="1005" w:right="0" w:hanging="299"/>
        <w:jc w:val="both"/>
        <w:rPr>
          <w:sz w:val="21"/>
        </w:rPr>
      </w:pPr>
      <w:r>
        <w:rPr>
          <w:color w:val="231F20"/>
          <w:sz w:val="21"/>
        </w:rPr>
        <w:t>illegally organizing a forced</w:t>
      </w:r>
      <w:r>
        <w:rPr>
          <w:color w:val="231F20"/>
          <w:spacing w:val="-1"/>
          <w:sz w:val="21"/>
        </w:rPr>
        <w:t xml:space="preserve"> </w:t>
      </w:r>
      <w:r>
        <w:rPr>
          <w:color w:val="231F20"/>
          <w:sz w:val="21"/>
        </w:rPr>
        <w:t>relocation;</w:t>
      </w:r>
    </w:p>
    <w:p w14:paraId="07597FD0">
      <w:pPr>
        <w:pStyle w:val="6"/>
        <w:numPr>
          <w:ilvl w:val="0"/>
          <w:numId w:val="4"/>
        </w:numPr>
        <w:tabs>
          <w:tab w:val="left" w:pos="1006"/>
        </w:tabs>
        <w:spacing w:before="139" w:after="0" w:line="240" w:lineRule="auto"/>
        <w:ind w:left="1005" w:right="0" w:hanging="299"/>
        <w:jc w:val="both"/>
        <w:rPr>
          <w:sz w:val="21"/>
        </w:rPr>
      </w:pPr>
      <w:r>
        <w:rPr>
          <w:color w:val="231F20"/>
          <w:sz w:val="21"/>
        </w:rPr>
        <w:t>failing to promptly verify and handle complaints or reports;</w:t>
      </w:r>
    </w:p>
    <w:p w14:paraId="15B7EE95">
      <w:pPr>
        <w:pStyle w:val="6"/>
        <w:numPr>
          <w:ilvl w:val="0"/>
          <w:numId w:val="4"/>
        </w:numPr>
        <w:tabs>
          <w:tab w:val="left" w:pos="1011"/>
        </w:tabs>
        <w:spacing w:before="91" w:after="0" w:line="436" w:lineRule="auto"/>
        <w:ind w:left="225" w:right="243" w:firstLine="481"/>
        <w:jc w:val="both"/>
        <w:rPr>
          <w:sz w:val="21"/>
        </w:rPr>
      </w:pPr>
      <w:r>
        <w:rPr>
          <w:color w:val="231F20"/>
          <w:sz w:val="21"/>
        </w:rPr>
        <w:t>failing to perform statutory duties or abusing the power, neglecting the duties or engaging in malpractice for personal gain.</w:t>
      </w:r>
    </w:p>
    <w:p w14:paraId="3CB0BDE5">
      <w:pPr>
        <w:pStyle w:val="3"/>
        <w:jc w:val="both"/>
        <w:rPr>
          <w:sz w:val="22"/>
        </w:rPr>
      </w:pPr>
    </w:p>
    <w:p w14:paraId="08FE9846">
      <w:pPr>
        <w:pStyle w:val="2"/>
        <w:spacing w:before="185"/>
        <w:ind w:left="1724"/>
        <w:jc w:val="both"/>
      </w:pPr>
      <w:r>
        <w:rPr>
          <w:color w:val="231F20"/>
        </w:rPr>
        <w:t>Chapter VI Supplementary Provisions</w:t>
      </w:r>
    </w:p>
    <w:p w14:paraId="41AE10C9">
      <w:pPr>
        <w:pStyle w:val="3"/>
        <w:jc w:val="both"/>
        <w:rPr>
          <w:b/>
          <w:sz w:val="26"/>
        </w:rPr>
      </w:pPr>
    </w:p>
    <w:p w14:paraId="623280F9">
      <w:pPr>
        <w:pStyle w:val="3"/>
        <w:spacing w:before="9"/>
        <w:jc w:val="both"/>
        <w:rPr>
          <w:b/>
          <w:sz w:val="26"/>
        </w:rPr>
      </w:pPr>
    </w:p>
    <w:p w14:paraId="4AB52AAB">
      <w:pPr>
        <w:pStyle w:val="3"/>
        <w:ind w:left="707"/>
        <w:jc w:val="both"/>
      </w:pPr>
      <w:r>
        <w:rPr>
          <w:b/>
          <w:color w:val="231F20"/>
        </w:rPr>
        <w:t xml:space="preserve">Article 51. </w:t>
      </w:r>
      <w:r>
        <w:rPr>
          <w:color w:val="231F20"/>
        </w:rPr>
        <w:t>These Measures shall become into effective as of March 10, 2020.</w:t>
      </w:r>
    </w:p>
    <w:p w14:paraId="263A2754">
      <w:pPr>
        <w:spacing w:after="0"/>
        <w:jc w:val="both"/>
        <w:sectPr>
          <w:pgSz w:w="10780" w:h="15090"/>
          <w:pgMar w:top="1520" w:right="940" w:bottom="1240" w:left="960" w:header="1190" w:footer="1048" w:gutter="0"/>
          <w:cols w:space="720" w:num="1"/>
        </w:sectPr>
      </w:pPr>
    </w:p>
    <w:p w14:paraId="1D5A721C">
      <w:pPr>
        <w:spacing w:after="0" w:line="331" w:lineRule="auto"/>
        <w:jc w:val="both"/>
        <w:sectPr>
          <w:pgSz w:w="10780" w:h="15090"/>
          <w:pgMar w:top="1520" w:right="940" w:bottom="1240" w:left="960" w:header="1190" w:footer="1048" w:gutter="0"/>
          <w:cols w:space="720" w:num="1"/>
        </w:sectPr>
      </w:pPr>
    </w:p>
    <w:p w14:paraId="2D097E32">
      <w:pPr>
        <w:spacing w:after="0"/>
        <w:jc w:val="both"/>
        <w:sectPr>
          <w:pgSz w:w="10780" w:h="15090"/>
          <w:pgMar w:top="1520" w:right="940" w:bottom="1240" w:left="960" w:header="1190" w:footer="1048" w:gutter="0"/>
          <w:cols w:space="720" w:num="1"/>
        </w:sectPr>
      </w:pPr>
    </w:p>
    <w:p w14:paraId="78689F04">
      <w:pPr>
        <w:spacing w:after="0" w:line="340" w:lineRule="auto"/>
        <w:jc w:val="both"/>
        <w:sectPr>
          <w:pgSz w:w="10780" w:h="15090"/>
          <w:pgMar w:top="1520" w:right="940" w:bottom="1240" w:left="960" w:header="1190" w:footer="1048" w:gutter="0"/>
          <w:cols w:space="720" w:num="1"/>
        </w:sectPr>
      </w:pPr>
    </w:p>
    <w:p w14:paraId="77A8A956">
      <w:pPr>
        <w:spacing w:after="0" w:line="364" w:lineRule="auto"/>
        <w:jc w:val="both"/>
        <w:sectPr>
          <w:pgSz w:w="10780" w:h="15090"/>
          <w:pgMar w:top="1520" w:right="940" w:bottom="1240" w:left="960" w:header="1190" w:footer="1048" w:gutter="0"/>
          <w:cols w:space="720" w:num="1"/>
        </w:sectPr>
      </w:pPr>
    </w:p>
    <w:p w14:paraId="7905BAA3">
      <w:pPr>
        <w:spacing w:after="0" w:line="331" w:lineRule="auto"/>
        <w:jc w:val="both"/>
        <w:sectPr>
          <w:pgSz w:w="10780" w:h="15090"/>
          <w:pgMar w:top="1520" w:right="940" w:bottom="1240" w:left="960" w:header="1190" w:footer="1048" w:gutter="0"/>
          <w:cols w:space="720" w:num="1"/>
        </w:sectPr>
      </w:pPr>
    </w:p>
    <w:p w14:paraId="52A874DA">
      <w:pPr>
        <w:spacing w:after="0"/>
        <w:jc w:val="both"/>
        <w:sectPr>
          <w:pgSz w:w="10780" w:h="15090"/>
          <w:pgMar w:top="1520" w:right="940" w:bottom="1240" w:left="960" w:header="1190" w:footer="1048" w:gutter="0"/>
          <w:cols w:space="720" w:num="1"/>
        </w:sectPr>
      </w:pPr>
    </w:p>
    <w:p w14:paraId="5F4B7F5D">
      <w:pPr>
        <w:spacing w:after="0" w:line="326" w:lineRule="auto"/>
        <w:jc w:val="both"/>
        <w:sectPr>
          <w:pgSz w:w="10780" w:h="15090"/>
          <w:pgMar w:top="1520" w:right="940" w:bottom="1240" w:left="960" w:header="1190" w:footer="1048" w:gutter="0"/>
          <w:cols w:space="720" w:num="1"/>
        </w:sectPr>
      </w:pPr>
    </w:p>
    <w:p w14:paraId="0056C46D">
      <w:pPr>
        <w:jc w:val="both"/>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9FD3E"/>
    <w:multiLevelType w:val="multilevel"/>
    <w:tmpl w:val="0709FD3E"/>
    <w:lvl w:ilvl="0" w:tentative="0">
      <w:start w:val="1"/>
      <w:numFmt w:val="decimal"/>
      <w:lvlText w:val="(%1)"/>
      <w:lvlJc w:val="left"/>
      <w:pPr>
        <w:ind w:left="1027" w:hanging="320"/>
        <w:jc w:val="left"/>
      </w:pPr>
      <w:rPr>
        <w:rFonts w:hint="default" w:ascii="Times New Roman" w:hAnsi="Times New Roman" w:eastAsia="Times New Roman" w:cs="Times New Roman"/>
        <w:color w:val="231F20"/>
        <w:spacing w:val="0"/>
        <w:w w:val="100"/>
        <w:sz w:val="21"/>
        <w:szCs w:val="21"/>
        <w:lang w:val="en-US" w:eastAsia="en-US" w:bidi="en-US"/>
      </w:rPr>
    </w:lvl>
    <w:lvl w:ilvl="1" w:tentative="0">
      <w:start w:val="0"/>
      <w:numFmt w:val="bullet"/>
      <w:lvlText w:val="•"/>
      <w:lvlJc w:val="left"/>
      <w:pPr>
        <w:ind w:left="1805" w:hanging="320"/>
      </w:pPr>
      <w:rPr>
        <w:rFonts w:hint="default"/>
        <w:lang w:val="en-US" w:eastAsia="en-US" w:bidi="en-US"/>
      </w:rPr>
    </w:lvl>
    <w:lvl w:ilvl="2" w:tentative="0">
      <w:start w:val="0"/>
      <w:numFmt w:val="bullet"/>
      <w:lvlText w:val="•"/>
      <w:lvlJc w:val="left"/>
      <w:pPr>
        <w:ind w:left="2590" w:hanging="320"/>
      </w:pPr>
      <w:rPr>
        <w:rFonts w:hint="default"/>
        <w:lang w:val="en-US" w:eastAsia="en-US" w:bidi="en-US"/>
      </w:rPr>
    </w:lvl>
    <w:lvl w:ilvl="3" w:tentative="0">
      <w:start w:val="0"/>
      <w:numFmt w:val="bullet"/>
      <w:lvlText w:val="•"/>
      <w:lvlJc w:val="left"/>
      <w:pPr>
        <w:ind w:left="3375" w:hanging="320"/>
      </w:pPr>
      <w:rPr>
        <w:rFonts w:hint="default"/>
        <w:lang w:val="en-US" w:eastAsia="en-US" w:bidi="en-US"/>
      </w:rPr>
    </w:lvl>
    <w:lvl w:ilvl="4" w:tentative="0">
      <w:start w:val="0"/>
      <w:numFmt w:val="bullet"/>
      <w:lvlText w:val="•"/>
      <w:lvlJc w:val="left"/>
      <w:pPr>
        <w:ind w:left="4160" w:hanging="320"/>
      </w:pPr>
      <w:rPr>
        <w:rFonts w:hint="default"/>
        <w:lang w:val="en-US" w:eastAsia="en-US" w:bidi="en-US"/>
      </w:rPr>
    </w:lvl>
    <w:lvl w:ilvl="5" w:tentative="0">
      <w:start w:val="0"/>
      <w:numFmt w:val="bullet"/>
      <w:lvlText w:val="•"/>
      <w:lvlJc w:val="left"/>
      <w:pPr>
        <w:ind w:left="4945" w:hanging="320"/>
      </w:pPr>
      <w:rPr>
        <w:rFonts w:hint="default"/>
        <w:lang w:val="en-US" w:eastAsia="en-US" w:bidi="en-US"/>
      </w:rPr>
    </w:lvl>
    <w:lvl w:ilvl="6" w:tentative="0">
      <w:start w:val="0"/>
      <w:numFmt w:val="bullet"/>
      <w:lvlText w:val="•"/>
      <w:lvlJc w:val="left"/>
      <w:pPr>
        <w:ind w:left="5731" w:hanging="320"/>
      </w:pPr>
      <w:rPr>
        <w:rFonts w:hint="default"/>
        <w:lang w:val="en-US" w:eastAsia="en-US" w:bidi="en-US"/>
      </w:rPr>
    </w:lvl>
    <w:lvl w:ilvl="7" w:tentative="0">
      <w:start w:val="0"/>
      <w:numFmt w:val="bullet"/>
      <w:lvlText w:val="•"/>
      <w:lvlJc w:val="left"/>
      <w:pPr>
        <w:ind w:left="6516" w:hanging="320"/>
      </w:pPr>
      <w:rPr>
        <w:rFonts w:hint="default"/>
        <w:lang w:val="en-US" w:eastAsia="en-US" w:bidi="en-US"/>
      </w:rPr>
    </w:lvl>
    <w:lvl w:ilvl="8" w:tentative="0">
      <w:start w:val="0"/>
      <w:numFmt w:val="bullet"/>
      <w:lvlText w:val="•"/>
      <w:lvlJc w:val="left"/>
      <w:pPr>
        <w:ind w:left="7301" w:hanging="320"/>
      </w:pPr>
      <w:rPr>
        <w:rFonts w:hint="default"/>
        <w:lang w:val="en-US" w:eastAsia="en-US" w:bidi="en-US"/>
      </w:rPr>
    </w:lvl>
  </w:abstractNum>
  <w:abstractNum w:abstractNumId="1">
    <w:nsid w:val="0CEF100B"/>
    <w:multiLevelType w:val="multilevel"/>
    <w:tmpl w:val="0CEF100B"/>
    <w:lvl w:ilvl="0" w:tentative="0">
      <w:start w:val="1"/>
      <w:numFmt w:val="decimal"/>
      <w:lvlText w:val="(%1)"/>
      <w:lvlJc w:val="left"/>
      <w:pPr>
        <w:ind w:left="1008" w:hanging="302"/>
        <w:jc w:val="left"/>
      </w:pPr>
      <w:rPr>
        <w:rFonts w:hint="default" w:ascii="Times New Roman" w:hAnsi="Times New Roman" w:eastAsia="Times New Roman" w:cs="Times New Roman"/>
        <w:color w:val="231F20"/>
        <w:w w:val="100"/>
        <w:sz w:val="21"/>
        <w:szCs w:val="21"/>
        <w:lang w:val="en-US" w:eastAsia="en-US" w:bidi="en-US"/>
      </w:rPr>
    </w:lvl>
    <w:lvl w:ilvl="1" w:tentative="0">
      <w:start w:val="0"/>
      <w:numFmt w:val="bullet"/>
      <w:lvlText w:val="•"/>
      <w:lvlJc w:val="left"/>
      <w:pPr>
        <w:ind w:left="1787" w:hanging="302"/>
      </w:pPr>
      <w:rPr>
        <w:rFonts w:hint="default"/>
        <w:lang w:val="en-US" w:eastAsia="en-US" w:bidi="en-US"/>
      </w:rPr>
    </w:lvl>
    <w:lvl w:ilvl="2" w:tentative="0">
      <w:start w:val="0"/>
      <w:numFmt w:val="bullet"/>
      <w:lvlText w:val="•"/>
      <w:lvlJc w:val="left"/>
      <w:pPr>
        <w:ind w:left="2574" w:hanging="302"/>
      </w:pPr>
      <w:rPr>
        <w:rFonts w:hint="default"/>
        <w:lang w:val="en-US" w:eastAsia="en-US" w:bidi="en-US"/>
      </w:rPr>
    </w:lvl>
    <w:lvl w:ilvl="3" w:tentative="0">
      <w:start w:val="0"/>
      <w:numFmt w:val="bullet"/>
      <w:lvlText w:val="•"/>
      <w:lvlJc w:val="left"/>
      <w:pPr>
        <w:ind w:left="3361" w:hanging="302"/>
      </w:pPr>
      <w:rPr>
        <w:rFonts w:hint="default"/>
        <w:lang w:val="en-US" w:eastAsia="en-US" w:bidi="en-US"/>
      </w:rPr>
    </w:lvl>
    <w:lvl w:ilvl="4" w:tentative="0">
      <w:start w:val="0"/>
      <w:numFmt w:val="bullet"/>
      <w:lvlText w:val="•"/>
      <w:lvlJc w:val="left"/>
      <w:pPr>
        <w:ind w:left="4148" w:hanging="302"/>
      </w:pPr>
      <w:rPr>
        <w:rFonts w:hint="default"/>
        <w:lang w:val="en-US" w:eastAsia="en-US" w:bidi="en-US"/>
      </w:rPr>
    </w:lvl>
    <w:lvl w:ilvl="5" w:tentative="0">
      <w:start w:val="0"/>
      <w:numFmt w:val="bullet"/>
      <w:lvlText w:val="•"/>
      <w:lvlJc w:val="left"/>
      <w:pPr>
        <w:ind w:left="4935" w:hanging="302"/>
      </w:pPr>
      <w:rPr>
        <w:rFonts w:hint="default"/>
        <w:lang w:val="en-US" w:eastAsia="en-US" w:bidi="en-US"/>
      </w:rPr>
    </w:lvl>
    <w:lvl w:ilvl="6" w:tentative="0">
      <w:start w:val="0"/>
      <w:numFmt w:val="bullet"/>
      <w:lvlText w:val="•"/>
      <w:lvlJc w:val="left"/>
      <w:pPr>
        <w:ind w:left="5723" w:hanging="302"/>
      </w:pPr>
      <w:rPr>
        <w:rFonts w:hint="default"/>
        <w:lang w:val="en-US" w:eastAsia="en-US" w:bidi="en-US"/>
      </w:rPr>
    </w:lvl>
    <w:lvl w:ilvl="7" w:tentative="0">
      <w:start w:val="0"/>
      <w:numFmt w:val="bullet"/>
      <w:lvlText w:val="•"/>
      <w:lvlJc w:val="left"/>
      <w:pPr>
        <w:ind w:left="6510" w:hanging="302"/>
      </w:pPr>
      <w:rPr>
        <w:rFonts w:hint="default"/>
        <w:lang w:val="en-US" w:eastAsia="en-US" w:bidi="en-US"/>
      </w:rPr>
    </w:lvl>
    <w:lvl w:ilvl="8" w:tentative="0">
      <w:start w:val="0"/>
      <w:numFmt w:val="bullet"/>
      <w:lvlText w:val="•"/>
      <w:lvlJc w:val="left"/>
      <w:pPr>
        <w:ind w:left="7297" w:hanging="302"/>
      </w:pPr>
      <w:rPr>
        <w:rFonts w:hint="default"/>
        <w:lang w:val="en-US" w:eastAsia="en-US" w:bidi="en-US"/>
      </w:rPr>
    </w:lvl>
  </w:abstractNum>
  <w:abstractNum w:abstractNumId="2">
    <w:nsid w:val="322D85CA"/>
    <w:multiLevelType w:val="multilevel"/>
    <w:tmpl w:val="322D85CA"/>
    <w:lvl w:ilvl="0" w:tentative="0">
      <w:start w:val="1"/>
      <w:numFmt w:val="decimal"/>
      <w:lvlText w:val="(%1)"/>
      <w:lvlJc w:val="left"/>
      <w:pPr>
        <w:ind w:left="1005" w:hanging="298"/>
        <w:jc w:val="left"/>
      </w:pPr>
      <w:rPr>
        <w:rFonts w:hint="default" w:ascii="Times New Roman" w:hAnsi="Times New Roman" w:eastAsia="Times New Roman" w:cs="Times New Roman"/>
        <w:color w:val="231F20"/>
        <w:w w:val="100"/>
        <w:sz w:val="21"/>
        <w:szCs w:val="21"/>
        <w:lang w:val="en-US" w:eastAsia="en-US" w:bidi="en-US"/>
      </w:rPr>
    </w:lvl>
    <w:lvl w:ilvl="1" w:tentative="0">
      <w:start w:val="0"/>
      <w:numFmt w:val="bullet"/>
      <w:lvlText w:val="•"/>
      <w:lvlJc w:val="left"/>
      <w:pPr>
        <w:ind w:left="1787" w:hanging="298"/>
      </w:pPr>
      <w:rPr>
        <w:rFonts w:hint="default"/>
        <w:lang w:val="en-US" w:eastAsia="en-US" w:bidi="en-US"/>
      </w:rPr>
    </w:lvl>
    <w:lvl w:ilvl="2" w:tentative="0">
      <w:start w:val="0"/>
      <w:numFmt w:val="bullet"/>
      <w:lvlText w:val="•"/>
      <w:lvlJc w:val="left"/>
      <w:pPr>
        <w:ind w:left="2574" w:hanging="298"/>
      </w:pPr>
      <w:rPr>
        <w:rFonts w:hint="default"/>
        <w:lang w:val="en-US" w:eastAsia="en-US" w:bidi="en-US"/>
      </w:rPr>
    </w:lvl>
    <w:lvl w:ilvl="3" w:tentative="0">
      <w:start w:val="0"/>
      <w:numFmt w:val="bullet"/>
      <w:lvlText w:val="•"/>
      <w:lvlJc w:val="left"/>
      <w:pPr>
        <w:ind w:left="3361" w:hanging="298"/>
      </w:pPr>
      <w:rPr>
        <w:rFonts w:hint="default"/>
        <w:lang w:val="en-US" w:eastAsia="en-US" w:bidi="en-US"/>
      </w:rPr>
    </w:lvl>
    <w:lvl w:ilvl="4" w:tentative="0">
      <w:start w:val="0"/>
      <w:numFmt w:val="bullet"/>
      <w:lvlText w:val="•"/>
      <w:lvlJc w:val="left"/>
      <w:pPr>
        <w:ind w:left="4148" w:hanging="298"/>
      </w:pPr>
      <w:rPr>
        <w:rFonts w:hint="default"/>
        <w:lang w:val="en-US" w:eastAsia="en-US" w:bidi="en-US"/>
      </w:rPr>
    </w:lvl>
    <w:lvl w:ilvl="5" w:tentative="0">
      <w:start w:val="0"/>
      <w:numFmt w:val="bullet"/>
      <w:lvlText w:val="•"/>
      <w:lvlJc w:val="left"/>
      <w:pPr>
        <w:ind w:left="4935" w:hanging="298"/>
      </w:pPr>
      <w:rPr>
        <w:rFonts w:hint="default"/>
        <w:lang w:val="en-US" w:eastAsia="en-US" w:bidi="en-US"/>
      </w:rPr>
    </w:lvl>
    <w:lvl w:ilvl="6" w:tentative="0">
      <w:start w:val="0"/>
      <w:numFmt w:val="bullet"/>
      <w:lvlText w:val="•"/>
      <w:lvlJc w:val="left"/>
      <w:pPr>
        <w:ind w:left="5723" w:hanging="298"/>
      </w:pPr>
      <w:rPr>
        <w:rFonts w:hint="default"/>
        <w:lang w:val="en-US" w:eastAsia="en-US" w:bidi="en-US"/>
      </w:rPr>
    </w:lvl>
    <w:lvl w:ilvl="7" w:tentative="0">
      <w:start w:val="0"/>
      <w:numFmt w:val="bullet"/>
      <w:lvlText w:val="•"/>
      <w:lvlJc w:val="left"/>
      <w:pPr>
        <w:ind w:left="6510" w:hanging="298"/>
      </w:pPr>
      <w:rPr>
        <w:rFonts w:hint="default"/>
        <w:lang w:val="en-US" w:eastAsia="en-US" w:bidi="en-US"/>
      </w:rPr>
    </w:lvl>
    <w:lvl w:ilvl="8" w:tentative="0">
      <w:start w:val="0"/>
      <w:numFmt w:val="bullet"/>
      <w:lvlText w:val="•"/>
      <w:lvlJc w:val="left"/>
      <w:pPr>
        <w:ind w:left="7297" w:hanging="298"/>
      </w:pPr>
      <w:rPr>
        <w:rFonts w:hint="default"/>
        <w:lang w:val="en-US" w:eastAsia="en-US" w:bidi="en-US"/>
      </w:rPr>
    </w:lvl>
  </w:abstractNum>
  <w:abstractNum w:abstractNumId="3">
    <w:nsid w:val="65CD0074"/>
    <w:multiLevelType w:val="multilevel"/>
    <w:tmpl w:val="65CD0074"/>
    <w:lvl w:ilvl="0" w:tentative="0">
      <w:start w:val="1"/>
      <w:numFmt w:val="decimal"/>
      <w:lvlText w:val="(%1)"/>
      <w:lvlJc w:val="left"/>
      <w:pPr>
        <w:ind w:left="1001" w:hanging="294"/>
        <w:jc w:val="left"/>
      </w:pPr>
      <w:rPr>
        <w:rFonts w:hint="default" w:ascii="Times New Roman" w:hAnsi="Times New Roman" w:eastAsia="Times New Roman" w:cs="Times New Roman"/>
        <w:color w:val="231F20"/>
        <w:w w:val="100"/>
        <w:sz w:val="21"/>
        <w:szCs w:val="21"/>
        <w:lang w:val="en-US" w:eastAsia="en-US" w:bidi="en-US"/>
      </w:rPr>
    </w:lvl>
    <w:lvl w:ilvl="1" w:tentative="0">
      <w:start w:val="0"/>
      <w:numFmt w:val="bullet"/>
      <w:lvlText w:val="•"/>
      <w:lvlJc w:val="left"/>
      <w:pPr>
        <w:ind w:left="1787" w:hanging="294"/>
      </w:pPr>
      <w:rPr>
        <w:rFonts w:hint="default"/>
        <w:lang w:val="en-US" w:eastAsia="en-US" w:bidi="en-US"/>
      </w:rPr>
    </w:lvl>
    <w:lvl w:ilvl="2" w:tentative="0">
      <w:start w:val="0"/>
      <w:numFmt w:val="bullet"/>
      <w:lvlText w:val="•"/>
      <w:lvlJc w:val="left"/>
      <w:pPr>
        <w:ind w:left="2574" w:hanging="294"/>
      </w:pPr>
      <w:rPr>
        <w:rFonts w:hint="default"/>
        <w:lang w:val="en-US" w:eastAsia="en-US" w:bidi="en-US"/>
      </w:rPr>
    </w:lvl>
    <w:lvl w:ilvl="3" w:tentative="0">
      <w:start w:val="0"/>
      <w:numFmt w:val="bullet"/>
      <w:lvlText w:val="•"/>
      <w:lvlJc w:val="left"/>
      <w:pPr>
        <w:ind w:left="3361" w:hanging="294"/>
      </w:pPr>
      <w:rPr>
        <w:rFonts w:hint="default"/>
        <w:lang w:val="en-US" w:eastAsia="en-US" w:bidi="en-US"/>
      </w:rPr>
    </w:lvl>
    <w:lvl w:ilvl="4" w:tentative="0">
      <w:start w:val="0"/>
      <w:numFmt w:val="bullet"/>
      <w:lvlText w:val="•"/>
      <w:lvlJc w:val="left"/>
      <w:pPr>
        <w:ind w:left="4148" w:hanging="294"/>
      </w:pPr>
      <w:rPr>
        <w:rFonts w:hint="default"/>
        <w:lang w:val="en-US" w:eastAsia="en-US" w:bidi="en-US"/>
      </w:rPr>
    </w:lvl>
    <w:lvl w:ilvl="5" w:tentative="0">
      <w:start w:val="0"/>
      <w:numFmt w:val="bullet"/>
      <w:lvlText w:val="•"/>
      <w:lvlJc w:val="left"/>
      <w:pPr>
        <w:ind w:left="4935" w:hanging="294"/>
      </w:pPr>
      <w:rPr>
        <w:rFonts w:hint="default"/>
        <w:lang w:val="en-US" w:eastAsia="en-US" w:bidi="en-US"/>
      </w:rPr>
    </w:lvl>
    <w:lvl w:ilvl="6" w:tentative="0">
      <w:start w:val="0"/>
      <w:numFmt w:val="bullet"/>
      <w:lvlText w:val="•"/>
      <w:lvlJc w:val="left"/>
      <w:pPr>
        <w:ind w:left="5723" w:hanging="294"/>
      </w:pPr>
      <w:rPr>
        <w:rFonts w:hint="default"/>
        <w:lang w:val="en-US" w:eastAsia="en-US" w:bidi="en-US"/>
      </w:rPr>
    </w:lvl>
    <w:lvl w:ilvl="7" w:tentative="0">
      <w:start w:val="0"/>
      <w:numFmt w:val="bullet"/>
      <w:lvlText w:val="•"/>
      <w:lvlJc w:val="left"/>
      <w:pPr>
        <w:ind w:left="6510" w:hanging="294"/>
      </w:pPr>
      <w:rPr>
        <w:rFonts w:hint="default"/>
        <w:lang w:val="en-US" w:eastAsia="en-US" w:bidi="en-US"/>
      </w:rPr>
    </w:lvl>
    <w:lvl w:ilvl="8" w:tentative="0">
      <w:start w:val="0"/>
      <w:numFmt w:val="bullet"/>
      <w:lvlText w:val="•"/>
      <w:lvlJc w:val="left"/>
      <w:pPr>
        <w:ind w:left="7297" w:hanging="294"/>
      </w:pPr>
      <w:rPr>
        <w:rFonts w:hint="default"/>
        <w:lang w:val="en-US" w:eastAsia="en-US" w:bidi="en-U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7E203C"/>
    <w:rsid w:val="2FF62D69"/>
    <w:rsid w:val="4E5E047D"/>
    <w:rsid w:val="4F345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en-US"/>
    </w:rPr>
  </w:style>
  <w:style w:type="paragraph" w:styleId="2">
    <w:name w:val="heading 4"/>
    <w:basedOn w:val="1"/>
    <w:qFormat/>
    <w:uiPriority w:val="1"/>
    <w:pPr>
      <w:ind w:left="1725" w:right="1743"/>
      <w:jc w:val="center"/>
      <w:outlineLvl w:val="4"/>
    </w:pPr>
    <w:rPr>
      <w:rFonts w:ascii="Times New Roman" w:hAnsi="Times New Roman" w:eastAsia="Times New Roman" w:cs="Times New Roman"/>
      <w:b/>
      <w:bCs/>
      <w:sz w:val="24"/>
      <w:szCs w:val="24"/>
      <w:lang w:val="en-US" w:eastAsia="en-US" w:bidi="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Times New Roman" w:hAnsi="Times New Roman" w:eastAsia="Times New Roman" w:cs="Times New Roman"/>
      <w:sz w:val="21"/>
      <w:szCs w:val="21"/>
      <w:lang w:val="en-US" w:eastAsia="en-US" w:bidi="en-US"/>
    </w:rPr>
  </w:style>
  <w:style w:type="paragraph" w:styleId="6">
    <w:name w:val="List Paragraph"/>
    <w:basedOn w:val="1"/>
    <w:qFormat/>
    <w:uiPriority w:val="1"/>
    <w:pPr>
      <w:ind w:left="225" w:firstLine="481"/>
      <w:jc w:val="both"/>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4603</Words>
  <Characters>26727</Characters>
  <Lines>0</Lines>
  <Paragraphs>0</Paragraphs>
  <TotalTime>19</TotalTime>
  <ScaleCrop>false</ScaleCrop>
  <LinksUpToDate>false</LinksUpToDate>
  <CharactersWithSpaces>31230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2025-09-03T06:56:00Z</dcterms:created>
  <dc:creator>Administrator</dc:creator>
  <cp:lastModifiedBy>树袋熊</cp:lastModifiedBy>
  <dcterms:modified xsi:type="dcterms:W3CDTF">2025-09-09T01:32:42Z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eyJoZGlkIjoiNzNhZjJiODI2ZDZmMjQ1MWEyYWU5OGNiNWZhYTcyYTQiLCJ1c2VySWQiOiIxMjc3NTkxOTUzIn0=</vt:lpwstr>
  </property>
  <property fmtid="{D5CDD505-2E9C-101B-9397-08002B2CF9AE}" pid="4" name="ICV">
    <vt:lpwstr>8B89DAC2A7B14E4B9CD4AE806FB94F02_12</vt:lpwstr>
  </property>
</Properties>
</file>