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BF67B"/>
    <w:p w14:paraId="27FC1C8F">
      <w:pPr>
        <w:jc w:val="center"/>
        <w:rPr>
          <w:b/>
          <w:bCs/>
          <w:sz w:val="44"/>
          <w:szCs w:val="44"/>
        </w:rPr>
      </w:pPr>
      <w:r>
        <w:rPr>
          <w:b/>
          <w:bCs/>
          <w:sz w:val="44"/>
          <w:szCs w:val="44"/>
        </w:rPr>
        <w:t xml:space="preserve">Regulations of Jilin Province </w:t>
      </w:r>
    </w:p>
    <w:p w14:paraId="1E8D8984">
      <w:pPr>
        <w:jc w:val="center"/>
        <w:rPr>
          <w:b/>
          <w:bCs/>
          <w:sz w:val="44"/>
          <w:szCs w:val="44"/>
        </w:rPr>
      </w:pPr>
      <w:r>
        <w:rPr>
          <w:b/>
          <w:bCs/>
          <w:sz w:val="44"/>
          <w:szCs w:val="44"/>
        </w:rPr>
        <w:t>on Development of Traditional</w:t>
      </w:r>
    </w:p>
    <w:p w14:paraId="198D9878">
      <w:pPr>
        <w:jc w:val="center"/>
        <w:rPr>
          <w:rFonts w:hint="default" w:eastAsia="宋体"/>
          <w:b/>
          <w:bCs/>
          <w:sz w:val="44"/>
          <w:szCs w:val="44"/>
          <w:lang w:val="en-US" w:eastAsia="zh-CN"/>
        </w:rPr>
      </w:pPr>
      <w:r>
        <w:rPr>
          <w:b/>
          <w:bCs/>
          <w:sz w:val="44"/>
          <w:szCs w:val="44"/>
        </w:rPr>
        <w:t xml:space="preserve"> Chinese Medicine</w:t>
      </w:r>
      <w:r>
        <w:rPr>
          <w:rFonts w:hint="eastAsia" w:eastAsia="宋体"/>
          <w:b/>
          <w:bCs/>
          <w:sz w:val="44"/>
          <w:szCs w:val="44"/>
          <w:lang w:val="en-US" w:eastAsia="zh-CN"/>
        </w:rPr>
        <w:t>(2020</w:t>
      </w:r>
      <w:bookmarkStart w:id="0" w:name="_GoBack"/>
      <w:bookmarkEnd w:id="0"/>
      <w:r>
        <w:rPr>
          <w:rFonts w:hint="eastAsia" w:eastAsia="宋体"/>
          <w:b/>
          <w:bCs/>
          <w:sz w:val="44"/>
          <w:szCs w:val="44"/>
          <w:lang w:val="en-US" w:eastAsia="zh-CN"/>
        </w:rPr>
        <w:t>)</w:t>
      </w:r>
    </w:p>
    <w:p w14:paraId="265CAB05">
      <w:pPr>
        <w:jc w:val="center"/>
        <w:rPr>
          <w:b/>
          <w:bCs/>
          <w:sz w:val="44"/>
          <w:szCs w:val="44"/>
        </w:rPr>
      </w:pPr>
    </w:p>
    <w:p w14:paraId="22E726AD">
      <w:pPr>
        <w:ind w:firstLine="420" w:firstLineChars="200"/>
        <w:jc w:val="center"/>
        <w:rPr>
          <w:sz w:val="21"/>
          <w:szCs w:val="21"/>
        </w:rPr>
      </w:pPr>
      <w:r>
        <w:rPr>
          <w:sz w:val="21"/>
          <w:szCs w:val="21"/>
        </w:rPr>
        <w:t>(Adopted at the 25th Session of the Standing Committee of the 13th National People's Congress of Jilin Province on November 27, 2020)</w:t>
      </w:r>
    </w:p>
    <w:p w14:paraId="229CD574">
      <w:pPr>
        <w:rPr>
          <w:sz w:val="21"/>
          <w:szCs w:val="21"/>
        </w:rPr>
      </w:pPr>
    </w:p>
    <w:p w14:paraId="4890EF31">
      <w:pPr>
        <w:rPr>
          <w:sz w:val="21"/>
          <w:szCs w:val="21"/>
        </w:rPr>
      </w:pPr>
    </w:p>
    <w:p w14:paraId="1BD89766">
      <w:pPr>
        <w:jc w:val="center"/>
        <w:rPr>
          <w:b/>
          <w:bCs/>
          <w:sz w:val="32"/>
          <w:szCs w:val="32"/>
        </w:rPr>
      </w:pPr>
      <w:r>
        <w:rPr>
          <w:b/>
          <w:bCs/>
          <w:sz w:val="32"/>
          <w:szCs w:val="32"/>
        </w:rPr>
        <w:t>Chapter I</w:t>
      </w:r>
      <w:r>
        <w:rPr>
          <w:rFonts w:hint="eastAsia" w:eastAsia="宋体"/>
          <w:b/>
          <w:bCs/>
          <w:sz w:val="32"/>
          <w:szCs w:val="32"/>
          <w:lang w:eastAsia="zh-CN"/>
        </w:rPr>
        <w:t xml:space="preserve"> </w:t>
      </w:r>
      <w:r>
        <w:rPr>
          <w:b/>
          <w:bCs/>
          <w:sz w:val="32"/>
          <w:szCs w:val="32"/>
        </w:rPr>
        <w:t xml:space="preserve"> General Provisions</w:t>
      </w:r>
    </w:p>
    <w:p w14:paraId="18DD8738">
      <w:pPr>
        <w:jc w:val="center"/>
        <w:rPr>
          <w:b/>
          <w:bCs/>
          <w:sz w:val="32"/>
          <w:szCs w:val="32"/>
        </w:rPr>
      </w:pPr>
    </w:p>
    <w:p w14:paraId="56326D45">
      <w:pPr>
        <w:ind w:firstLine="480" w:firstLineChars="200"/>
        <w:jc w:val="both"/>
        <w:rPr>
          <w:szCs w:val="24"/>
        </w:rPr>
      </w:pPr>
      <w:r>
        <w:rPr>
          <w:b/>
          <w:color w:val="000000" w:themeColor="text1"/>
          <w:szCs w:val="24"/>
          <w14:textFill>
            <w14:solidFill>
              <w14:schemeClr w14:val="tx1"/>
            </w14:solidFill>
          </w14:textFill>
        </w:rPr>
        <w:t>Article 1.</w:t>
      </w:r>
      <w:r>
        <w:rPr>
          <w:szCs w:val="24"/>
        </w:rPr>
        <w:t xml:space="preserve"> These Regulations are formulated for the purposes of inheriting and carrying forward traditional</w:t>
      </w:r>
      <w:r>
        <w:rPr>
          <w:rFonts w:hint="eastAsia" w:eastAsia="宋体"/>
          <w:szCs w:val="24"/>
          <w:lang w:val="en-US" w:eastAsia="zh-CN"/>
        </w:rPr>
        <w:t xml:space="preserve"> </w:t>
      </w:r>
      <w:r>
        <w:rPr>
          <w:szCs w:val="24"/>
        </w:rPr>
        <w:t>Chinese medicine, guaranteeing and promoting the development of the traditional Chinese medicine undertaking, and protecting the health of the people, in accordance with the Law of the People's Republic of China on Traditional Chinese Medicine, the relevant laws and regulations, and in the light of actual circumstances in this Province.</w:t>
      </w:r>
    </w:p>
    <w:p w14:paraId="7B5BF75E">
      <w:pPr>
        <w:ind w:firstLine="480" w:firstLineChars="200"/>
        <w:jc w:val="both"/>
        <w:rPr>
          <w:szCs w:val="24"/>
        </w:rPr>
      </w:pPr>
      <w:r>
        <w:rPr>
          <w:b/>
          <w:color w:val="000000" w:themeColor="text1"/>
          <w:szCs w:val="24"/>
          <w14:textFill>
            <w14:solidFill>
              <w14:schemeClr w14:val="tx1"/>
            </w14:solidFill>
          </w14:textFill>
        </w:rPr>
        <w:t>Article 2.</w:t>
      </w:r>
      <w:r>
        <w:rPr>
          <w:szCs w:val="24"/>
        </w:rPr>
        <w:t xml:space="preserve"> These Regulations shall apply to the activities of TCM medical treatment, prevention, health care, scientific research, education, industry, culture, foreign exchanges and cooperation as well as their supervision and administration within the administrative areas of the Province.</w:t>
      </w:r>
    </w:p>
    <w:p w14:paraId="1FB91A80">
      <w:pPr>
        <w:ind w:firstLine="480" w:firstLineChars="200"/>
        <w:jc w:val="both"/>
        <w:rPr>
          <w:szCs w:val="24"/>
        </w:rPr>
      </w:pPr>
      <w:r>
        <w:rPr>
          <w:b/>
          <w:color w:val="000000" w:themeColor="text1"/>
          <w:szCs w:val="24"/>
          <w14:textFill>
            <w14:solidFill>
              <w14:schemeClr w14:val="tx1"/>
            </w14:solidFill>
          </w14:textFill>
        </w:rPr>
        <w:t>Article 3.</w:t>
      </w:r>
      <w:r>
        <w:rPr>
          <w:szCs w:val="24"/>
        </w:rPr>
        <w:t xml:space="preserve"> The development of TCM undertaking shall observe the law of TCM development, carry out the principle of giving equal emphasis to TCM and western medicine, inherit the essence, keep the right innovation, give full play to the advantages of traditional Chinese medicine resources in Jilin Province, promote the TCM industry to become an important pillar of the national economy, and build a strong Province of TCM.</w:t>
      </w:r>
    </w:p>
    <w:p w14:paraId="215A4614">
      <w:pPr>
        <w:ind w:firstLine="480" w:firstLineChars="200"/>
        <w:jc w:val="both"/>
        <w:rPr>
          <w:szCs w:val="24"/>
        </w:rPr>
      </w:pPr>
      <w:r>
        <w:rPr>
          <w:b/>
          <w:color w:val="000000" w:themeColor="text1"/>
          <w:szCs w:val="24"/>
          <w14:textFill>
            <w14:solidFill>
              <w14:schemeClr w14:val="tx1"/>
            </w14:solidFill>
          </w14:textFill>
        </w:rPr>
        <w:t>Article 4.</w:t>
      </w:r>
      <w:r>
        <w:rPr>
          <w:szCs w:val="24"/>
        </w:rPr>
        <w:t xml:space="preserve"> The people's governments at the county level and upwards shall bring the TCM undertaking into the national economic and social development plans, improve the TCM management system, scientifically set up</w:t>
      </w:r>
      <w:r>
        <w:rPr>
          <w:rFonts w:hint="eastAsia" w:eastAsia="宋体"/>
          <w:szCs w:val="24"/>
          <w:lang w:val="en-US" w:eastAsia="zh-CN"/>
        </w:rPr>
        <w:t xml:space="preserve"> </w:t>
      </w:r>
      <w:r>
        <w:rPr>
          <w:szCs w:val="24"/>
        </w:rPr>
        <w:t>competent departments of TCM, and provide full-time administrative personnel for TCM.</w:t>
      </w:r>
    </w:p>
    <w:p w14:paraId="235B5C43">
      <w:pPr>
        <w:ind w:firstLine="480" w:firstLineChars="200"/>
        <w:jc w:val="both"/>
        <w:rPr>
          <w:szCs w:val="24"/>
        </w:rPr>
      </w:pPr>
      <w:r>
        <w:rPr>
          <w:b/>
          <w:color w:val="000000" w:themeColor="text1"/>
          <w:szCs w:val="24"/>
          <w14:textFill>
            <w14:solidFill>
              <w14:schemeClr w14:val="tx1"/>
            </w14:solidFill>
          </w14:textFill>
        </w:rPr>
        <w:t>Article 5.</w:t>
      </w:r>
      <w:r>
        <w:rPr>
          <w:szCs w:val="24"/>
        </w:rPr>
        <w:t xml:space="preserve"> The people's governments at the county level and upwards shall establish a coordination mechanism for the work of TCM to study and solve major problems in the development of TCM.</w:t>
      </w:r>
    </w:p>
    <w:p w14:paraId="79F1A79A">
      <w:pPr>
        <w:ind w:firstLine="480" w:firstLineChars="200"/>
        <w:jc w:val="both"/>
        <w:rPr>
          <w:szCs w:val="24"/>
        </w:rPr>
      </w:pPr>
      <w:r>
        <w:rPr>
          <w:b/>
          <w:color w:val="000000" w:themeColor="text1"/>
          <w:szCs w:val="24"/>
          <w14:textFill>
            <w14:solidFill>
              <w14:schemeClr w14:val="tx1"/>
            </w14:solidFill>
          </w14:textFill>
        </w:rPr>
        <w:t>Article 6.</w:t>
      </w:r>
      <w:r>
        <w:rPr>
          <w:szCs w:val="24"/>
        </w:rPr>
        <w:t xml:space="preserve"> The competent TCM department of the local people's governments at the county level and upwards shall take charge of TCM administration within its administrative region. Other relevant departments of the local people's governments at the county level and upwards shall</w:t>
      </w:r>
      <w:r>
        <w:rPr>
          <w:rFonts w:hint="eastAsia" w:eastAsia="宋体"/>
          <w:szCs w:val="24"/>
          <w:lang w:eastAsia="zh-CN"/>
        </w:rPr>
        <w:t xml:space="preserve"> </w:t>
      </w:r>
      <w:r>
        <w:rPr>
          <w:szCs w:val="24"/>
        </w:rPr>
        <w:t>be responsible for the work relating to TCM administration within the scope of their respective functions.</w:t>
      </w:r>
    </w:p>
    <w:p w14:paraId="11EC2AA4">
      <w:pPr>
        <w:ind w:firstLine="480" w:firstLineChars="200"/>
        <w:jc w:val="both"/>
        <w:rPr>
          <w:szCs w:val="24"/>
        </w:rPr>
      </w:pPr>
      <w:r>
        <w:rPr>
          <w:b/>
          <w:color w:val="000000" w:themeColor="text1"/>
          <w:szCs w:val="24"/>
          <w14:textFill>
            <w14:solidFill>
              <w14:schemeClr w14:val="tx1"/>
            </w14:solidFill>
          </w14:textFill>
        </w:rPr>
        <w:t>Article 7.</w:t>
      </w:r>
      <w:r>
        <w:rPr>
          <w:szCs w:val="24"/>
        </w:rPr>
        <w:t xml:space="preserve"> Organizations and individuals shall be encouraged and supported to make donation for and support the TCM undertaking.</w:t>
      </w:r>
    </w:p>
    <w:p w14:paraId="67ECB70E">
      <w:pPr>
        <w:ind w:firstLine="480" w:firstLineChars="200"/>
        <w:jc w:val="both"/>
        <w:rPr>
          <w:rFonts w:eastAsia="宋体"/>
          <w:szCs w:val="24"/>
          <w:lang w:eastAsia="zh-CN"/>
        </w:rPr>
      </w:pPr>
      <w:r>
        <w:rPr>
          <w:szCs w:val="24"/>
        </w:rPr>
        <w:t>TCM industry organizations shall establish and improve industry norms, strengthen industry self-discipline, safeguard the legitimate rights and interests of the industry, and organize the industry exchanges.</w:t>
      </w:r>
      <w:r>
        <w:rPr>
          <w:rFonts w:hint="eastAsia" w:eastAsia="宋体"/>
          <w:szCs w:val="24"/>
          <w:lang w:eastAsia="zh-CN"/>
        </w:rPr>
        <w:t xml:space="preserve"> </w:t>
      </w:r>
    </w:p>
    <w:p w14:paraId="07D358C9">
      <w:pPr>
        <w:ind w:firstLine="480" w:firstLineChars="200"/>
        <w:jc w:val="both"/>
        <w:rPr>
          <w:rFonts w:eastAsia="宋体"/>
          <w:szCs w:val="24"/>
          <w:lang w:eastAsia="zh-CN"/>
        </w:rPr>
      </w:pPr>
    </w:p>
    <w:p w14:paraId="0C055E9F">
      <w:pPr>
        <w:ind w:firstLine="640" w:firstLineChars="200"/>
        <w:jc w:val="center"/>
        <w:rPr>
          <w:b/>
          <w:bCs/>
          <w:sz w:val="32"/>
          <w:szCs w:val="32"/>
        </w:rPr>
      </w:pPr>
      <w:r>
        <w:rPr>
          <w:b/>
          <w:bCs/>
          <w:sz w:val="32"/>
          <w:szCs w:val="32"/>
        </w:rPr>
        <w:t>Chapter II  TCM Services</w:t>
      </w:r>
    </w:p>
    <w:p w14:paraId="7E2753E7">
      <w:pPr>
        <w:jc w:val="both"/>
        <w:rPr>
          <w:b/>
          <w:bCs/>
          <w:sz w:val="32"/>
          <w:szCs w:val="32"/>
        </w:rPr>
      </w:pPr>
    </w:p>
    <w:p w14:paraId="358F5510">
      <w:pPr>
        <w:ind w:firstLine="480" w:firstLineChars="200"/>
        <w:jc w:val="both"/>
        <w:rPr>
          <w:szCs w:val="24"/>
        </w:rPr>
      </w:pPr>
      <w:r>
        <w:rPr>
          <w:b/>
          <w:color w:val="000000" w:themeColor="text1"/>
          <w:szCs w:val="24"/>
          <w14:textFill>
            <w14:solidFill>
              <w14:schemeClr w14:val="tx1"/>
            </w14:solidFill>
          </w14:textFill>
        </w:rPr>
        <w:t>Article 8.</w:t>
      </w:r>
      <w:r>
        <w:rPr>
          <w:szCs w:val="24"/>
        </w:rPr>
        <w:t xml:space="preserve"> The people's governments at the county level and upwards shall formulate plans for the allocation of TCM resources and the establishment of regional TCM institutions, support the development of medical institutions with TCM characteristics and advantages, and gradually form a TCM service system that integrates preventive health care, disease treatment and rehabilitation, and provides TCM services covering the whole life cycle.</w:t>
      </w:r>
    </w:p>
    <w:p w14:paraId="03529776">
      <w:pPr>
        <w:ind w:firstLine="480" w:firstLineChars="200"/>
        <w:jc w:val="both"/>
        <w:rPr>
          <w:szCs w:val="24"/>
        </w:rPr>
      </w:pPr>
      <w:r>
        <w:rPr>
          <w:b/>
          <w:color w:val="000000" w:themeColor="text1"/>
          <w:szCs w:val="24"/>
          <w14:textFill>
            <w14:solidFill>
              <w14:schemeClr w14:val="tx1"/>
            </w14:solidFill>
          </w14:textFill>
        </w:rPr>
        <w:t>Article 9.</w:t>
      </w:r>
      <w:r>
        <w:rPr>
          <w:szCs w:val="24"/>
        </w:rPr>
        <w:t xml:space="preserve"> The people's governments at the county level and upwards shall launch TCM medical institutions with proper scale.</w:t>
      </w:r>
    </w:p>
    <w:p w14:paraId="062BE295">
      <w:pPr>
        <w:ind w:firstLine="480" w:firstLineChars="200"/>
        <w:jc w:val="both"/>
        <w:rPr>
          <w:szCs w:val="24"/>
        </w:rPr>
      </w:pPr>
      <w:r>
        <w:rPr>
          <w:szCs w:val="24"/>
        </w:rPr>
        <w:t>To merge or cancel a TCM medical institution launched by the government or change the nature as a TCM medical institution, the opinion of the competent TCM department of the people's government at the next higher level shall be solicited, and it shall be reported to the competent TCM department of the provincial people's government for the record.</w:t>
      </w:r>
    </w:p>
    <w:p w14:paraId="183F6C75">
      <w:pPr>
        <w:ind w:firstLine="480" w:firstLineChars="200"/>
        <w:jc w:val="both"/>
        <w:rPr>
          <w:szCs w:val="24"/>
        </w:rPr>
      </w:pPr>
      <w:r>
        <w:rPr>
          <w:b/>
          <w:color w:val="000000" w:themeColor="text1"/>
          <w:szCs w:val="24"/>
          <w14:textFill>
            <w14:solidFill>
              <w14:schemeClr w14:val="tx1"/>
            </w14:solidFill>
          </w14:textFill>
        </w:rPr>
        <w:t>Article 10.</w:t>
      </w:r>
      <w:r>
        <w:rPr>
          <w:szCs w:val="24"/>
        </w:rPr>
        <w:t xml:space="preserve"> Comprehensive hospitals and maternity and child care institutions launched by governments as well as qualified specialized hospitals, community health service centers and township health centers shall set TCM departments and clinics.</w:t>
      </w:r>
    </w:p>
    <w:p w14:paraId="5C01FC0C">
      <w:pPr>
        <w:ind w:firstLine="480" w:firstLineChars="200"/>
        <w:jc w:val="both"/>
        <w:rPr>
          <w:szCs w:val="24"/>
        </w:rPr>
      </w:pPr>
      <w:r>
        <w:rPr>
          <w:szCs w:val="24"/>
        </w:rPr>
        <w:t>Social capitals shall be encouraged to organize TCM clinics, outpatient departments, specialty hospitals and other TCM medical institutions.</w:t>
      </w:r>
    </w:p>
    <w:p w14:paraId="2512E5A0">
      <w:pPr>
        <w:ind w:firstLine="480" w:firstLineChars="200"/>
        <w:jc w:val="both"/>
        <w:rPr>
          <w:szCs w:val="24"/>
        </w:rPr>
      </w:pPr>
      <w:r>
        <w:rPr>
          <w:b/>
          <w:color w:val="000000" w:themeColor="text1"/>
          <w:szCs w:val="24"/>
          <w14:textFill>
            <w14:solidFill>
              <w14:schemeClr w14:val="tx1"/>
            </w14:solidFill>
          </w14:textFill>
        </w:rPr>
        <w:t>Article 11.</w:t>
      </w:r>
      <w:r>
        <w:rPr>
          <w:szCs w:val="24"/>
        </w:rPr>
        <w:t xml:space="preserve"> TCM hospitals at the county level and upwards shall strengthen the guidance on grass-roots TCM services. TCM medical institutions organized by the people's governments at the county level and upwards shall be encouraged to improve the ability and level of TCM service in primary medical and health institutions and private TCM medical institutions by means of medical consortia. TCM physicians shall be encouraged to provide TCM services at the grass-roots level.</w:t>
      </w:r>
    </w:p>
    <w:p w14:paraId="613FF031">
      <w:pPr>
        <w:ind w:firstLine="480" w:firstLineChars="200"/>
        <w:jc w:val="both"/>
        <w:rPr>
          <w:szCs w:val="24"/>
        </w:rPr>
      </w:pPr>
      <w:r>
        <w:rPr>
          <w:b/>
          <w:color w:val="000000" w:themeColor="text1"/>
          <w:szCs w:val="24"/>
          <w14:textFill>
            <w14:solidFill>
              <w14:schemeClr w14:val="tx1"/>
            </w14:solidFill>
          </w14:textFill>
        </w:rPr>
        <w:t>Article 12.</w:t>
      </w:r>
      <w:r>
        <w:rPr>
          <w:szCs w:val="24"/>
        </w:rPr>
        <w:t xml:space="preserve"> A TCM clinic launched shall comply with the relevant standards of the State, and may conduct practice activities after the name, address, treatment scope and staffing of the clinic, techniques and methods of diagnosis and treatment, and other information are reported to the</w:t>
      </w:r>
      <w:r>
        <w:rPr>
          <w:rFonts w:hint="eastAsia" w:eastAsia="宋体"/>
          <w:szCs w:val="24"/>
          <w:lang w:eastAsia="zh-CN"/>
        </w:rPr>
        <w:t xml:space="preserve"> </w:t>
      </w:r>
      <w:r>
        <w:rPr>
          <w:szCs w:val="24"/>
        </w:rPr>
        <w:t>competent TCM department of the local county people's government for record. The TCM clinic shall not conduct medical activities beyond the scope granted recordation.</w:t>
      </w:r>
    </w:p>
    <w:p w14:paraId="48A80AC4">
      <w:pPr>
        <w:ind w:firstLine="480" w:firstLineChars="200"/>
        <w:jc w:val="both"/>
        <w:rPr>
          <w:szCs w:val="24"/>
        </w:rPr>
      </w:pPr>
      <w:r>
        <w:rPr>
          <w:b/>
          <w:color w:val="000000" w:themeColor="text1"/>
          <w:szCs w:val="24"/>
          <w14:textFill>
            <w14:solidFill>
              <w14:schemeClr w14:val="tx1"/>
            </w14:solidFill>
          </w14:textFill>
        </w:rPr>
        <w:t>Article 13.</w:t>
      </w:r>
      <w:r>
        <w:rPr>
          <w:szCs w:val="24"/>
        </w:rPr>
        <w:t xml:space="preserve"> The development of TCM services shall be guided by the theory of TCM and shall use the technical methods of TCM to give full play to its unique role in the prevention and treatment of common diseases, frequent diseases, chronic diseases and difficult and complicated diseases, and shall conform to the relevant laws, regulations, norms and standards of TCM.</w:t>
      </w:r>
    </w:p>
    <w:p w14:paraId="64CFD7F3">
      <w:pPr>
        <w:ind w:firstLine="480" w:firstLineChars="200"/>
        <w:jc w:val="both"/>
        <w:rPr>
          <w:szCs w:val="24"/>
        </w:rPr>
      </w:pPr>
      <w:r>
        <w:rPr>
          <w:szCs w:val="24"/>
        </w:rPr>
        <w:t>Medical institutions shall formulate and implement the core system of medical quality and safety.</w:t>
      </w:r>
    </w:p>
    <w:p w14:paraId="11DE90B7">
      <w:pPr>
        <w:ind w:firstLine="480" w:firstLineChars="200"/>
        <w:jc w:val="both"/>
        <w:rPr>
          <w:szCs w:val="24"/>
        </w:rPr>
      </w:pPr>
      <w:r>
        <w:rPr>
          <w:b/>
          <w:color w:val="000000" w:themeColor="text1"/>
          <w:szCs w:val="24"/>
          <w14:textFill>
            <w14:solidFill>
              <w14:schemeClr w14:val="tx1"/>
            </w14:solidFill>
          </w14:textFill>
        </w:rPr>
        <w:t>Article 14.</w:t>
      </w:r>
      <w:r>
        <w:rPr>
          <w:szCs w:val="24"/>
        </w:rPr>
        <w:t xml:space="preserve"> For a person who learns TCM through a teacher or indeed has specialty in medical skills through many years of practice, the TCM physician qualification test shall be carried out in accordance with the national stipulations, with the specific implementation measures formulated by the competent TCM department of the provincial people's government.</w:t>
      </w:r>
    </w:p>
    <w:p w14:paraId="0E42C86B">
      <w:pPr>
        <w:ind w:firstLine="480" w:firstLineChars="200"/>
        <w:jc w:val="both"/>
        <w:rPr>
          <w:szCs w:val="24"/>
        </w:rPr>
      </w:pPr>
      <w:r>
        <w:rPr>
          <w:b/>
          <w:color w:val="000000" w:themeColor="text1"/>
          <w:szCs w:val="24"/>
          <w14:textFill>
            <w14:solidFill>
              <w14:schemeClr w14:val="tx1"/>
            </w14:solidFill>
          </w14:textFill>
        </w:rPr>
        <w:t>Article 15.</w:t>
      </w:r>
      <w:r>
        <w:rPr>
          <w:szCs w:val="24"/>
        </w:rPr>
        <w:t xml:space="preserve"> The competent TCM department of the provincial people's government shall carry out various forms of training and popularization of appropriate techniques for TCM.</w:t>
      </w:r>
    </w:p>
    <w:p w14:paraId="679CFF37">
      <w:pPr>
        <w:ind w:firstLine="480" w:firstLineChars="200"/>
        <w:jc w:val="both"/>
        <w:rPr>
          <w:szCs w:val="24"/>
        </w:rPr>
      </w:pPr>
      <w:r>
        <w:rPr>
          <w:szCs w:val="24"/>
        </w:rPr>
        <w:t>Clinical medical practitioners, general practitioners and rural doctors who have participated in training in relevant knowledge and skills of TCM may carry out corresponding TCM services in clinical work, and the specific measures shall be formulated by the competent TCM department of the provincial people's government.</w:t>
      </w:r>
    </w:p>
    <w:p w14:paraId="2BDC5A5C">
      <w:pPr>
        <w:ind w:firstLine="480" w:firstLineChars="200"/>
        <w:jc w:val="both"/>
        <w:rPr>
          <w:szCs w:val="24"/>
        </w:rPr>
      </w:pPr>
      <w:r>
        <w:rPr>
          <w:b/>
          <w:color w:val="000000" w:themeColor="text1"/>
          <w:szCs w:val="24"/>
          <w14:textFill>
            <w14:solidFill>
              <w14:schemeClr w14:val="tx1"/>
            </w14:solidFill>
          </w14:textFill>
        </w:rPr>
        <w:t>Article 16.</w:t>
      </w:r>
      <w:r>
        <w:rPr>
          <w:szCs w:val="24"/>
        </w:rPr>
        <w:t xml:space="preserve"> The people's governments at the county level and upwards shall incorporate TCM institutions and personnel into the emergency response system for public health emergencies and pre-hospital first aid system, and strengthen the reserve of emergency TCM materials, equipment, facilities, technology and personnel resources; support medical and health institutions to actively use the theory and technical methods of TCM to enhance the participation of TCM in emergency treatment and prevention of infectious diseases.</w:t>
      </w:r>
    </w:p>
    <w:p w14:paraId="7B70B42C">
      <w:pPr>
        <w:ind w:firstLine="480" w:firstLineChars="200"/>
        <w:jc w:val="both"/>
        <w:rPr>
          <w:szCs w:val="24"/>
        </w:rPr>
      </w:pPr>
      <w:r>
        <w:rPr>
          <w:szCs w:val="24"/>
        </w:rPr>
        <w:t>Qualified TCM medical institutions shall be encouraged to strengthen emergency training in public health emergencies and improve the level of TCM prevention and treatment of epidemic diseases.</w:t>
      </w:r>
    </w:p>
    <w:p w14:paraId="3BB84201">
      <w:pPr>
        <w:ind w:firstLine="480" w:firstLineChars="200"/>
        <w:jc w:val="both"/>
        <w:rPr>
          <w:szCs w:val="24"/>
        </w:rPr>
      </w:pPr>
      <w:r>
        <w:rPr>
          <w:b/>
          <w:color w:val="000000" w:themeColor="text1"/>
          <w:szCs w:val="24"/>
          <w14:textFill>
            <w14:solidFill>
              <w14:schemeClr w14:val="tx1"/>
            </w14:solidFill>
          </w14:textFill>
        </w:rPr>
        <w:t>Article 17.</w:t>
      </w:r>
      <w:r>
        <w:rPr>
          <w:szCs w:val="24"/>
        </w:rPr>
        <w:t xml:space="preserve"> The people's governments at the county level and upwards shall promote the construction of the TCM service system involving the TCM medical treatment, rehabilitation and</w:t>
      </w:r>
      <w:r>
        <w:rPr>
          <w:rFonts w:hint="eastAsia" w:eastAsia="宋体"/>
          <w:szCs w:val="24"/>
          <w:lang w:eastAsia="zh-CN"/>
        </w:rPr>
        <w:t xml:space="preserve"> </w:t>
      </w:r>
      <w:r>
        <w:rPr>
          <w:szCs w:val="24"/>
        </w:rPr>
        <w:t>old-age care, etc., explore and develop new models of TCM health services, and expand the scope</w:t>
      </w:r>
      <w:r>
        <w:rPr>
          <w:rFonts w:hint="eastAsia" w:eastAsia="宋体"/>
          <w:szCs w:val="24"/>
          <w:lang w:eastAsia="zh-CN"/>
        </w:rPr>
        <w:t xml:space="preserve"> </w:t>
      </w:r>
      <w:r>
        <w:rPr>
          <w:szCs w:val="24"/>
        </w:rPr>
        <w:t>of public health services for TCM.</w:t>
      </w:r>
    </w:p>
    <w:p w14:paraId="7AB3CCD7">
      <w:pPr>
        <w:ind w:firstLine="480" w:firstLineChars="200"/>
        <w:jc w:val="both"/>
        <w:rPr>
          <w:szCs w:val="24"/>
        </w:rPr>
      </w:pPr>
      <w:r>
        <w:rPr>
          <w:b/>
          <w:color w:val="000000" w:themeColor="text1"/>
          <w:szCs w:val="24"/>
          <w14:textFill>
            <w14:solidFill>
              <w14:schemeClr w14:val="tx1"/>
            </w14:solidFill>
          </w14:textFill>
        </w:rPr>
        <w:t>Article</w:t>
      </w:r>
      <w:r>
        <w:rPr>
          <w:b/>
          <w:bCs/>
          <w:szCs w:val="24"/>
        </w:rPr>
        <w:t xml:space="preserve"> 18.</w:t>
      </w:r>
      <w:r>
        <w:rPr>
          <w:szCs w:val="24"/>
        </w:rPr>
        <w:t xml:space="preserve"> TCM preventive treatment of disease health care project shall be implemented to</w:t>
      </w:r>
      <w:r>
        <w:rPr>
          <w:rFonts w:hint="eastAsia" w:eastAsia="宋体"/>
          <w:szCs w:val="24"/>
          <w:lang w:eastAsia="zh-CN"/>
        </w:rPr>
        <w:t xml:space="preserve"> </w:t>
      </w:r>
      <w:r>
        <w:rPr>
          <w:szCs w:val="24"/>
        </w:rPr>
        <w:t>strengthen the role of TCM in disease prevention and control.</w:t>
      </w:r>
    </w:p>
    <w:p w14:paraId="33D95D15">
      <w:pPr>
        <w:ind w:firstLine="480" w:firstLineChars="200"/>
        <w:jc w:val="both"/>
        <w:rPr>
          <w:szCs w:val="24"/>
        </w:rPr>
      </w:pPr>
      <w:r>
        <w:rPr>
          <w:szCs w:val="24"/>
        </w:rPr>
        <w:t>The competent TCM departments of the people's governments at the county level and upwards shall popularize the TCM preventive treatment of disease in medical institutions.</w:t>
      </w:r>
    </w:p>
    <w:p w14:paraId="592C952C">
      <w:pPr>
        <w:ind w:firstLine="480" w:firstLineChars="200"/>
        <w:jc w:val="both"/>
        <w:rPr>
          <w:szCs w:val="24"/>
        </w:rPr>
      </w:pPr>
      <w:r>
        <w:rPr>
          <w:b/>
          <w:color w:val="000000" w:themeColor="text1"/>
          <w:szCs w:val="24"/>
          <w14:textFill>
            <w14:solidFill>
              <w14:schemeClr w14:val="tx1"/>
            </w14:solidFill>
          </w14:textFill>
        </w:rPr>
        <w:t>Article 19.</w:t>
      </w:r>
      <w:r>
        <w:rPr>
          <w:szCs w:val="24"/>
        </w:rPr>
        <w:t xml:space="preserve"> Qualified medical institutions and TCM physicians shall be encouraged to use the</w:t>
      </w:r>
      <w:r>
        <w:rPr>
          <w:rFonts w:hint="eastAsia" w:eastAsia="宋体"/>
          <w:szCs w:val="24"/>
          <w:lang w:eastAsia="zh-CN"/>
        </w:rPr>
        <w:t xml:space="preserve"> </w:t>
      </w:r>
      <w:r>
        <w:rPr>
          <w:szCs w:val="24"/>
        </w:rPr>
        <w:t>Internet and other technologies to carry out telemedicine and intelligent medical services.</w:t>
      </w:r>
    </w:p>
    <w:p w14:paraId="1CCA1BC8">
      <w:pPr>
        <w:jc w:val="both"/>
        <w:rPr>
          <w:szCs w:val="24"/>
        </w:rPr>
      </w:pPr>
    </w:p>
    <w:p w14:paraId="3039DBF7">
      <w:pPr>
        <w:jc w:val="center"/>
        <w:rPr>
          <w:b/>
          <w:bCs/>
          <w:sz w:val="32"/>
          <w:szCs w:val="32"/>
        </w:rPr>
      </w:pPr>
      <w:r>
        <w:rPr>
          <w:b/>
          <w:bCs/>
          <w:sz w:val="32"/>
          <w:szCs w:val="32"/>
        </w:rPr>
        <w:t>Chapter II</w:t>
      </w:r>
      <w:r>
        <w:rPr>
          <w:rFonts w:hint="eastAsia" w:eastAsia="宋体"/>
          <w:b/>
          <w:bCs/>
          <w:sz w:val="32"/>
          <w:szCs w:val="32"/>
          <w:lang w:eastAsia="zh-CN"/>
        </w:rPr>
        <w:t xml:space="preserve">I </w:t>
      </w:r>
      <w:r>
        <w:rPr>
          <w:b/>
          <w:bCs/>
          <w:sz w:val="32"/>
          <w:szCs w:val="32"/>
        </w:rPr>
        <w:t xml:space="preserve"> TCM Protection and Development</w:t>
      </w:r>
    </w:p>
    <w:p w14:paraId="341BD9F1">
      <w:pPr>
        <w:jc w:val="both"/>
        <w:rPr>
          <w:szCs w:val="24"/>
        </w:rPr>
      </w:pPr>
    </w:p>
    <w:p w14:paraId="7E0BA2E1">
      <w:pPr>
        <w:ind w:firstLine="480" w:firstLineChars="200"/>
        <w:jc w:val="both"/>
        <w:rPr>
          <w:szCs w:val="24"/>
        </w:rPr>
      </w:pPr>
      <w:r>
        <w:rPr>
          <w:b/>
          <w:color w:val="000000" w:themeColor="text1"/>
          <w:szCs w:val="24"/>
          <w14:textFill>
            <w14:solidFill>
              <w14:schemeClr w14:val="tx1"/>
            </w14:solidFill>
          </w14:textFill>
        </w:rPr>
        <w:t>Article 20.</w:t>
      </w:r>
      <w:r>
        <w:rPr>
          <w:szCs w:val="24"/>
        </w:rPr>
        <w:t xml:space="preserve"> The provincial people's government shall strengthen the protection on the resources of wild TCM materials, organize and carry out regular census, dynamic monitoring and protection on the resources of medicinal wild animals and plants, and improve the system for classification and protection of TCM materials resources and species of wild TCM materials.</w:t>
      </w:r>
    </w:p>
    <w:p w14:paraId="3462FCBD">
      <w:pPr>
        <w:ind w:firstLine="480" w:firstLineChars="200"/>
        <w:jc w:val="both"/>
        <w:rPr>
          <w:szCs w:val="24"/>
        </w:rPr>
      </w:pPr>
      <w:r>
        <w:rPr>
          <w:szCs w:val="24"/>
        </w:rPr>
        <w:t>The people's governments at the county level and upwards shall understand the status of TCM resources in their respective administrative areas, and strengthen the protection on precious and endangered medicinal wildlife resources and the origin of medicinal materials.</w:t>
      </w:r>
    </w:p>
    <w:p w14:paraId="525C5362">
      <w:pPr>
        <w:ind w:firstLine="480" w:firstLineChars="200"/>
        <w:jc w:val="both"/>
        <w:rPr>
          <w:szCs w:val="24"/>
        </w:rPr>
      </w:pPr>
      <w:r>
        <w:rPr>
          <w:b/>
          <w:color w:val="000000" w:themeColor="text1"/>
          <w:szCs w:val="24"/>
          <w14:textFill>
            <w14:solidFill>
              <w14:schemeClr w14:val="tx1"/>
            </w14:solidFill>
          </w14:textFill>
        </w:rPr>
        <w:t>Article 21.</w:t>
      </w:r>
      <w:r>
        <w:rPr>
          <w:szCs w:val="24"/>
        </w:rPr>
        <w:t xml:space="preserve"> The provincial people's government and its relevant departments shall formulate policies to support the development of TCM industry.</w:t>
      </w:r>
    </w:p>
    <w:p w14:paraId="5AD5A1F4">
      <w:pPr>
        <w:ind w:firstLine="480" w:firstLineChars="200"/>
        <w:jc w:val="both"/>
        <w:rPr>
          <w:szCs w:val="24"/>
        </w:rPr>
      </w:pPr>
      <w:r>
        <w:rPr>
          <w:szCs w:val="24"/>
        </w:rPr>
        <w:t>The people's governments at the county level and upwards shall give full play to the advantages of TCM resources, promote the agglomeration and development of TCM industry, promote the construction of comprehensive service platforms such as production and circulation of TCM industry and third party quality inspection technology platforms, so as to promote the development of TCM industry.</w:t>
      </w:r>
    </w:p>
    <w:p w14:paraId="06546442">
      <w:pPr>
        <w:ind w:firstLine="480" w:firstLineChars="200"/>
        <w:jc w:val="both"/>
        <w:rPr>
          <w:szCs w:val="24"/>
        </w:rPr>
      </w:pPr>
      <w:r>
        <w:rPr>
          <w:b/>
          <w:color w:val="000000" w:themeColor="text1"/>
          <w:szCs w:val="24"/>
          <w14:textFill>
            <w14:solidFill>
              <w14:schemeClr w14:val="tx1"/>
            </w14:solidFill>
          </w14:textFill>
        </w:rPr>
        <w:t>Article 22.</w:t>
      </w:r>
      <w:r>
        <w:rPr>
          <w:szCs w:val="24"/>
        </w:rPr>
        <w:t xml:space="preserve"> The relevant departments of the provincial people's government shall formulate a catalogue of authentic TCM materials in Jilin Province, coordinate and support the breeding and production protection of authentic TCM materials varieties, support the standardized construction of authentic TCM materials production bases, encourage authentic and characteristic TCM materials</w:t>
      </w:r>
      <w:r>
        <w:rPr>
          <w:rFonts w:hint="eastAsia" w:eastAsia="宋体"/>
          <w:szCs w:val="24"/>
          <w:lang w:eastAsia="zh-CN"/>
        </w:rPr>
        <w:t xml:space="preserve"> </w:t>
      </w:r>
      <w:r>
        <w:rPr>
          <w:szCs w:val="24"/>
        </w:rPr>
        <w:t>varieties to apply for geographical indication protection products, cultivate and protect regional public brands of authentic TCM materials in Jilin Province.</w:t>
      </w:r>
    </w:p>
    <w:p w14:paraId="50006E46">
      <w:pPr>
        <w:ind w:firstLine="480" w:firstLineChars="200"/>
        <w:jc w:val="both"/>
        <w:rPr>
          <w:szCs w:val="24"/>
        </w:rPr>
      </w:pPr>
      <w:r>
        <w:rPr>
          <w:szCs w:val="24"/>
        </w:rPr>
        <w:t>The people's governments at the county level and upwards in Changbai Mountain region</w:t>
      </w:r>
      <w:r>
        <w:rPr>
          <w:rFonts w:hint="eastAsia" w:eastAsia="宋体"/>
          <w:szCs w:val="24"/>
          <w:lang w:eastAsia="zh-CN"/>
        </w:rPr>
        <w:t xml:space="preserve"> </w:t>
      </w:r>
      <w:r>
        <w:rPr>
          <w:szCs w:val="24"/>
        </w:rPr>
        <w:t>shall strengthen the protection and rational utilization of TCM resources in Changbai Mountain, and support the construction of cultivation and breeding bases for TCM resources in Changbai Mountain.</w:t>
      </w:r>
    </w:p>
    <w:p w14:paraId="789095E8">
      <w:pPr>
        <w:ind w:firstLine="480" w:firstLineChars="200"/>
        <w:jc w:val="both"/>
        <w:rPr>
          <w:szCs w:val="24"/>
        </w:rPr>
      </w:pPr>
      <w:r>
        <w:rPr>
          <w:b/>
          <w:color w:val="000000" w:themeColor="text1"/>
          <w:szCs w:val="24"/>
          <w14:textFill>
            <w14:solidFill>
              <w14:schemeClr w14:val="tx1"/>
            </w14:solidFill>
          </w14:textFill>
        </w:rPr>
        <w:t>Article 23.</w:t>
      </w:r>
      <w:r>
        <w:rPr>
          <w:szCs w:val="24"/>
        </w:rPr>
        <w:t xml:space="preserve"> The provincial people's government and its relevant departments shall promote the construction of a traceability system for the whole process of TCM materials, and strengthen the quality supervision and administration over the cultivation, production, circulation and use of TCM materials. TCM enterprises shall strengthen the construction of integrity system, and relying on the national TCM materials supply guarantee public service platform, gradually carry out the key varieties of TCM materials traceability information.</w:t>
      </w:r>
    </w:p>
    <w:p w14:paraId="7CB902A8">
      <w:pPr>
        <w:ind w:firstLine="480" w:firstLineChars="200"/>
        <w:jc w:val="both"/>
        <w:rPr>
          <w:szCs w:val="24"/>
        </w:rPr>
      </w:pPr>
      <w:r>
        <w:rPr>
          <w:szCs w:val="24"/>
        </w:rPr>
        <w:t>The departments in charge of agricultural and rural areas, market supervision and administration, drug supervision and administration and other authorities shall strengthen the quality supervision and administration over TCM materials to ensure the quality and safety of TCM materials.</w:t>
      </w:r>
    </w:p>
    <w:p w14:paraId="15627ACD">
      <w:pPr>
        <w:ind w:firstLine="480" w:firstLineChars="200"/>
        <w:jc w:val="both"/>
        <w:rPr>
          <w:szCs w:val="24"/>
        </w:rPr>
      </w:pPr>
      <w:r>
        <w:rPr>
          <w:b/>
          <w:color w:val="000000" w:themeColor="text1"/>
          <w:szCs w:val="24"/>
          <w14:textFill>
            <w14:solidFill>
              <w14:schemeClr w14:val="tx1"/>
            </w14:solidFill>
          </w14:textFill>
        </w:rPr>
        <w:t>Article 24.</w:t>
      </w:r>
      <w:r>
        <w:rPr>
          <w:szCs w:val="24"/>
        </w:rPr>
        <w:t xml:space="preserve"> The people's governments at the county level and upwards shall, in the light of the actual situation, formulate plans for the development of cultivation and breeding of TCM materials in their respective administrative areas, and support the market subjects in the construction of breeding bases, planting and breeding bases and processing bases for improved varieties of TCM materials.</w:t>
      </w:r>
    </w:p>
    <w:p w14:paraId="5B9535CC">
      <w:pPr>
        <w:ind w:firstLine="480" w:firstLineChars="200"/>
        <w:jc w:val="both"/>
        <w:rPr>
          <w:szCs w:val="24"/>
        </w:rPr>
      </w:pPr>
      <w:r>
        <w:rPr>
          <w:szCs w:val="24"/>
        </w:rPr>
        <w:t>TCM materials production enterprises shall be encouraged to extend the industrial chain to the producing areas of TCM materials, adopt green and organic agricultural products standards to plant and breed TCM materials, and promote the standardization and standardization of TCM materials cultivation and breeding.</w:t>
      </w:r>
    </w:p>
    <w:p w14:paraId="41555FAA">
      <w:pPr>
        <w:ind w:firstLine="480" w:firstLineChars="200"/>
        <w:jc w:val="both"/>
        <w:rPr>
          <w:szCs w:val="24"/>
        </w:rPr>
      </w:pPr>
      <w:r>
        <w:rPr>
          <w:b/>
          <w:color w:val="000000" w:themeColor="text1"/>
          <w:szCs w:val="24"/>
          <w14:textFill>
            <w14:solidFill>
              <w14:schemeClr w14:val="tx1"/>
            </w14:solidFill>
          </w14:textFill>
        </w:rPr>
        <w:t>Article 25.</w:t>
      </w:r>
      <w:r>
        <w:rPr>
          <w:szCs w:val="24"/>
        </w:rPr>
        <w:t xml:space="preserve"> Pharmaceutical manufacturing enterprises, TCM materials operators and medical institutions shall establish a quality control system and truthfully record and provide relevant information for traceability. Pharmaceutical production enterprises shall establish a record system for the inspection of the purchase of TCM materials and TCM materials; the operators of TCM materials shall establish a record system for the inspection and purchase and sale of TCM materials and indicate the origin of TCM materials; medical institutions shall standardize the channels for the import of medicinal materials, establish a system for the quality acceptance of TCM materials, strengthen the management of the processing and preparation of TCM materials and ensure the quality of TCM materials and TCM preparations.</w:t>
      </w:r>
    </w:p>
    <w:p w14:paraId="4F989563">
      <w:pPr>
        <w:ind w:firstLine="480" w:firstLineChars="200"/>
        <w:jc w:val="both"/>
        <w:rPr>
          <w:szCs w:val="24"/>
        </w:rPr>
      </w:pPr>
      <w:r>
        <w:rPr>
          <w:b/>
          <w:color w:val="000000" w:themeColor="text1"/>
          <w:szCs w:val="24"/>
          <w14:textFill>
            <w14:solidFill>
              <w14:schemeClr w14:val="tx1"/>
            </w14:solidFill>
          </w14:textFill>
        </w:rPr>
        <w:t>Article 26.</w:t>
      </w:r>
      <w:r>
        <w:rPr>
          <w:szCs w:val="24"/>
        </w:rPr>
        <w:t xml:space="preserve"> The drug supervision and administration department of the provincial people's government shall, together with the competent TCM department, formulate a catalogue for the use of TCM preparations in medical institutions and use them among designated medical institutions.</w:t>
      </w:r>
    </w:p>
    <w:p w14:paraId="4AE502D1">
      <w:pPr>
        <w:ind w:firstLine="480" w:firstLineChars="200"/>
        <w:jc w:val="both"/>
        <w:rPr>
          <w:szCs w:val="24"/>
        </w:rPr>
      </w:pPr>
      <w:r>
        <w:rPr>
          <w:szCs w:val="24"/>
        </w:rPr>
        <w:t>When a medical institution prepares a TCM preparation, it shall obtain a medical institution preparation license in accordance with law, or entrust a pharmaceutical production enterprise that has obtained a drug production license or other medical institution that has obtained a medical</w:t>
      </w:r>
      <w:r>
        <w:rPr>
          <w:rFonts w:hint="eastAsia" w:eastAsia="宋体"/>
          <w:szCs w:val="24"/>
          <w:lang w:eastAsia="zh-CN"/>
        </w:rPr>
        <w:t xml:space="preserve"> </w:t>
      </w:r>
      <w:r>
        <w:rPr>
          <w:szCs w:val="24"/>
        </w:rPr>
        <w:t>institution preparation license to prepare a TCM preparation. The entrusted preparation of TCM preparations shall be filed with the drug supervision and administration department under the people's government of the Province, autonomous region or municipality directly under the Central Government where the entrusting party is located.</w:t>
      </w:r>
    </w:p>
    <w:p w14:paraId="3E3D49C3">
      <w:pPr>
        <w:ind w:firstLine="480" w:firstLineChars="200"/>
        <w:jc w:val="both"/>
        <w:rPr>
          <w:szCs w:val="24"/>
        </w:rPr>
      </w:pPr>
      <w:r>
        <w:rPr>
          <w:szCs w:val="24"/>
        </w:rPr>
        <w:t>The drug supervision and administration department of the provincial people's government</w:t>
      </w:r>
      <w:r>
        <w:rPr>
          <w:rFonts w:hint="eastAsia" w:eastAsia="宋体"/>
          <w:szCs w:val="24"/>
          <w:lang w:eastAsia="zh-CN"/>
        </w:rPr>
        <w:t xml:space="preserve"> </w:t>
      </w:r>
      <w:r>
        <w:rPr>
          <w:szCs w:val="24"/>
        </w:rPr>
        <w:t>shall improve the detailed rules for the filing of TCM preparations in medical institutions.</w:t>
      </w:r>
    </w:p>
    <w:p w14:paraId="0B9A19F4">
      <w:pPr>
        <w:ind w:firstLine="480" w:firstLineChars="200"/>
        <w:jc w:val="both"/>
        <w:rPr>
          <w:szCs w:val="24"/>
        </w:rPr>
      </w:pPr>
      <w:r>
        <w:rPr>
          <w:b/>
          <w:color w:val="000000" w:themeColor="text1"/>
          <w:szCs w:val="24"/>
          <w14:textFill>
            <w14:solidFill>
              <w14:schemeClr w14:val="tx1"/>
            </w14:solidFill>
          </w14:textFill>
        </w:rPr>
        <w:t>Article 27.</w:t>
      </w:r>
      <w:r>
        <w:rPr>
          <w:szCs w:val="24"/>
        </w:rPr>
        <w:t xml:space="preserve"> Medical institutions shall not be included in the scope of TCM preparations management where they provide the following pharmaceutical services on the basis of physician's prescription as needed by clinical drug use:</w:t>
      </w:r>
    </w:p>
    <w:p w14:paraId="33B5BBE7">
      <w:pPr>
        <w:ind w:firstLine="480" w:firstLineChars="200"/>
        <w:jc w:val="both"/>
        <w:rPr>
          <w:szCs w:val="24"/>
        </w:rPr>
      </w:pPr>
      <w:r>
        <w:rPr>
          <w:rFonts w:hint="eastAsia" w:eastAsia="宋体"/>
          <w:szCs w:val="24"/>
          <w:lang w:eastAsia="zh-CN"/>
        </w:rPr>
        <w:t>(1)</w:t>
      </w:r>
      <w:r>
        <w:rPr>
          <w:szCs w:val="24"/>
        </w:rPr>
        <w:t>Processing Chinese herbal pieces into fine powder, adding water, wine, vinegar, honey and sesame oil for external use;</w:t>
      </w:r>
    </w:p>
    <w:p w14:paraId="675D6A2A">
      <w:pPr>
        <w:ind w:firstLine="480" w:firstLineChars="200"/>
        <w:jc w:val="both"/>
        <w:rPr>
          <w:szCs w:val="24"/>
        </w:rPr>
      </w:pPr>
      <w:r>
        <w:rPr>
          <w:rFonts w:hint="eastAsia" w:eastAsia="宋体"/>
          <w:szCs w:val="24"/>
          <w:lang w:eastAsia="zh-CN"/>
        </w:rPr>
        <w:t>(2)</w:t>
      </w:r>
      <w:r>
        <w:rPr>
          <w:szCs w:val="24"/>
        </w:rPr>
        <w:t>Juicing of fresh medicines;</w:t>
      </w:r>
    </w:p>
    <w:p w14:paraId="7D9FBDC3">
      <w:pPr>
        <w:ind w:firstLine="480" w:firstLineChars="200"/>
        <w:jc w:val="both"/>
        <w:rPr>
          <w:szCs w:val="24"/>
        </w:rPr>
      </w:pPr>
      <w:r>
        <w:rPr>
          <w:rFonts w:hint="eastAsia" w:eastAsia="宋体"/>
          <w:szCs w:val="24"/>
          <w:lang w:eastAsia="zh-CN"/>
        </w:rPr>
        <w:t>(3)</w:t>
      </w:r>
      <w:r>
        <w:rPr>
          <w:szCs w:val="24"/>
        </w:rPr>
        <w:t>Products manufactured by TCM process on the basis of physician's prescription, as entrusted by the patient;</w:t>
      </w:r>
    </w:p>
    <w:p w14:paraId="21645783">
      <w:pPr>
        <w:ind w:firstLine="480" w:firstLineChars="200"/>
        <w:jc w:val="both"/>
        <w:rPr>
          <w:szCs w:val="24"/>
        </w:rPr>
      </w:pPr>
      <w:r>
        <w:rPr>
          <w:rFonts w:hint="eastAsia" w:eastAsia="宋体"/>
          <w:szCs w:val="24"/>
          <w:lang w:eastAsia="zh-CN"/>
        </w:rPr>
        <w:t>(4)</w:t>
      </w:r>
      <w:r>
        <w:rPr>
          <w:szCs w:val="24"/>
        </w:rPr>
        <w:t>Other circumstances prescribed by the State not included in the administration of TCM preparations in medical institutions.</w:t>
      </w:r>
    </w:p>
    <w:p w14:paraId="7969DA0E">
      <w:pPr>
        <w:ind w:firstLine="480" w:firstLineChars="200"/>
        <w:jc w:val="both"/>
        <w:rPr>
          <w:szCs w:val="24"/>
        </w:rPr>
      </w:pPr>
      <w:r>
        <w:rPr>
          <w:szCs w:val="24"/>
        </w:rPr>
        <w:t>Medical institutions providing pharmaceutical services as above shall meet the basic requirements of safety, effectiveness and convenience.</w:t>
      </w:r>
    </w:p>
    <w:p w14:paraId="0F49343E">
      <w:pPr>
        <w:jc w:val="both"/>
        <w:rPr>
          <w:szCs w:val="24"/>
        </w:rPr>
      </w:pPr>
    </w:p>
    <w:p w14:paraId="1D5F479F">
      <w:pPr>
        <w:jc w:val="center"/>
        <w:rPr>
          <w:b/>
          <w:bCs/>
          <w:sz w:val="32"/>
          <w:szCs w:val="32"/>
        </w:rPr>
      </w:pPr>
      <w:r>
        <w:rPr>
          <w:b/>
          <w:bCs/>
          <w:sz w:val="32"/>
          <w:szCs w:val="32"/>
        </w:rPr>
        <w:t xml:space="preserve">Chapter IV </w:t>
      </w:r>
      <w:r>
        <w:rPr>
          <w:rFonts w:hint="eastAsia" w:eastAsia="宋体"/>
          <w:b/>
          <w:bCs/>
          <w:sz w:val="32"/>
          <w:szCs w:val="32"/>
          <w:lang w:eastAsia="zh-CN"/>
        </w:rPr>
        <w:t xml:space="preserve"> </w:t>
      </w:r>
      <w:r>
        <w:rPr>
          <w:b/>
          <w:bCs/>
          <w:sz w:val="32"/>
          <w:szCs w:val="32"/>
        </w:rPr>
        <w:t>Cultivation of TCM Talents</w:t>
      </w:r>
    </w:p>
    <w:p w14:paraId="4B693D33">
      <w:pPr>
        <w:jc w:val="both"/>
        <w:rPr>
          <w:szCs w:val="24"/>
        </w:rPr>
      </w:pPr>
    </w:p>
    <w:p w14:paraId="7883C435">
      <w:pPr>
        <w:ind w:firstLine="480" w:firstLineChars="200"/>
        <w:jc w:val="both"/>
        <w:rPr>
          <w:szCs w:val="24"/>
        </w:rPr>
      </w:pPr>
      <w:r>
        <w:rPr>
          <w:b/>
          <w:color w:val="000000" w:themeColor="text1"/>
          <w:szCs w:val="24"/>
          <w14:textFill>
            <w14:solidFill>
              <w14:schemeClr w14:val="tx1"/>
            </w14:solidFill>
          </w14:textFill>
        </w:rPr>
        <w:t>Article 28.</w:t>
      </w:r>
      <w:r>
        <w:rPr>
          <w:szCs w:val="24"/>
        </w:rPr>
        <w:t xml:space="preserve"> The provincial people's government shall establish and improve the training mechanism for TCM talents, and form an organic link between college education, post-graduate education and continuing education.</w:t>
      </w:r>
    </w:p>
    <w:p w14:paraId="08CC238F">
      <w:pPr>
        <w:ind w:firstLine="480" w:firstLineChars="200"/>
        <w:jc w:val="both"/>
        <w:rPr>
          <w:szCs w:val="24"/>
        </w:rPr>
      </w:pPr>
      <w:r>
        <w:rPr>
          <w:b/>
          <w:color w:val="000000" w:themeColor="text1"/>
          <w:szCs w:val="24"/>
          <w14:textFill>
            <w14:solidFill>
              <w14:schemeClr w14:val="tx1"/>
            </w14:solidFill>
          </w14:textFill>
        </w:rPr>
        <w:t>Article 29.</w:t>
      </w:r>
      <w:r>
        <w:rPr>
          <w:szCs w:val="24"/>
        </w:rPr>
        <w:t xml:space="preserve"> The competent education department of the provincial people's government shall, in conjunction with the competent TCM department, improve the TCM educational system of the colleges and universities to develop higher and vocational TCM education.</w:t>
      </w:r>
    </w:p>
    <w:p w14:paraId="6CC037FC">
      <w:pPr>
        <w:ind w:firstLine="480" w:firstLineChars="200"/>
        <w:jc w:val="both"/>
        <w:rPr>
          <w:szCs w:val="24"/>
        </w:rPr>
      </w:pPr>
      <w:r>
        <w:rPr>
          <w:szCs w:val="24"/>
        </w:rPr>
        <w:t>Qualified vocational schools shall be supported to hold TCM planting, TCM production and</w:t>
      </w:r>
      <w:r>
        <w:rPr>
          <w:rFonts w:hint="eastAsia" w:eastAsia="宋体"/>
          <w:szCs w:val="24"/>
          <w:lang w:eastAsia="zh-CN"/>
        </w:rPr>
        <w:t xml:space="preserve"> </w:t>
      </w:r>
      <w:r>
        <w:rPr>
          <w:szCs w:val="24"/>
        </w:rPr>
        <w:t>processing, and other specialties.</w:t>
      </w:r>
    </w:p>
    <w:p w14:paraId="18D83EF7">
      <w:pPr>
        <w:ind w:firstLine="480" w:firstLineChars="200"/>
        <w:jc w:val="both"/>
        <w:rPr>
          <w:szCs w:val="24"/>
        </w:rPr>
      </w:pPr>
      <w:r>
        <w:rPr>
          <w:b/>
          <w:color w:val="000000" w:themeColor="text1"/>
          <w:szCs w:val="24"/>
          <w14:textFill>
            <w14:solidFill>
              <w14:schemeClr w14:val="tx1"/>
            </w14:solidFill>
          </w14:textFill>
        </w:rPr>
        <w:t>Article 30.</w:t>
      </w:r>
      <w:r>
        <w:rPr>
          <w:szCs w:val="24"/>
        </w:rPr>
        <w:t xml:space="preserve"> The implementation of TCM education shall follow the law of the growth of TCM talents, highlight the cultivation of TCM thinking ability, pay attention to the basic TCM theory</w:t>
      </w:r>
      <w:r>
        <w:rPr>
          <w:rFonts w:hint="eastAsia" w:eastAsia="宋体"/>
          <w:szCs w:val="24"/>
          <w:lang w:eastAsia="zh-CN"/>
        </w:rPr>
        <w:t xml:space="preserve"> </w:t>
      </w:r>
      <w:r>
        <w:rPr>
          <w:szCs w:val="24"/>
        </w:rPr>
        <w:t>teaching and basic practical skills training, strengthen the construction of clinical TCM teaching bases, and integrate the succession to school education, so as to improve the quality of TCM personnel training.</w:t>
      </w:r>
    </w:p>
    <w:p w14:paraId="49D2074C">
      <w:pPr>
        <w:ind w:firstLine="480" w:firstLineChars="200"/>
        <w:jc w:val="both"/>
        <w:rPr>
          <w:szCs w:val="24"/>
        </w:rPr>
      </w:pPr>
      <w:r>
        <w:rPr>
          <w:b/>
          <w:color w:val="000000" w:themeColor="text1"/>
          <w:szCs w:val="24"/>
          <w14:textFill>
            <w14:solidFill>
              <w14:schemeClr w14:val="tx1"/>
            </w14:solidFill>
          </w14:textFill>
        </w:rPr>
        <w:t>Article 31.</w:t>
      </w:r>
      <w:r>
        <w:rPr>
          <w:szCs w:val="24"/>
        </w:rPr>
        <w:t xml:space="preserve"> The competent TCM departments of the people's governments at the county</w:t>
      </w:r>
      <w:r>
        <w:rPr>
          <w:rFonts w:hint="eastAsia" w:eastAsia="宋体"/>
          <w:szCs w:val="24"/>
          <w:lang w:eastAsia="zh-CN"/>
        </w:rPr>
        <w:t xml:space="preserve"> </w:t>
      </w:r>
      <w:r>
        <w:rPr>
          <w:szCs w:val="24"/>
        </w:rPr>
        <w:t>level and upwards shall strengthen the management of post-graduation education and continuing education for the professional and technical TCM personnel in their respective areas, and organize the professional and technical TCM personnel in their respective areas to participate in the TCM continuing education and study.</w:t>
      </w:r>
    </w:p>
    <w:p w14:paraId="0B506428">
      <w:pPr>
        <w:ind w:firstLine="480" w:firstLineChars="200"/>
        <w:jc w:val="both"/>
        <w:rPr>
          <w:szCs w:val="24"/>
        </w:rPr>
      </w:pPr>
      <w:r>
        <w:rPr>
          <w:szCs w:val="24"/>
        </w:rPr>
        <w:t>The competent TCM departments of the people's governments at the county level and upwards shall actively organize and carry out TCM continuing education projects in the mode of succession education. TCM medical institutions shall regard succession education as an important part of continuing education.</w:t>
      </w:r>
    </w:p>
    <w:p w14:paraId="15EA0520">
      <w:pPr>
        <w:ind w:firstLine="480" w:firstLineChars="200"/>
        <w:jc w:val="both"/>
        <w:rPr>
          <w:szCs w:val="24"/>
        </w:rPr>
      </w:pPr>
      <w:r>
        <w:rPr>
          <w:szCs w:val="24"/>
        </w:rPr>
        <w:t>Medical institutions shall guarantee the hours of participation in continuing education as well</w:t>
      </w:r>
      <w:r>
        <w:rPr>
          <w:rFonts w:hint="eastAsia" w:eastAsia="宋体"/>
          <w:szCs w:val="24"/>
          <w:lang w:eastAsia="zh-CN"/>
        </w:rPr>
        <w:t xml:space="preserve"> </w:t>
      </w:r>
      <w:r>
        <w:rPr>
          <w:szCs w:val="24"/>
        </w:rPr>
        <w:t>as the salary and welfare benefits of the TCM professionals.</w:t>
      </w:r>
    </w:p>
    <w:p w14:paraId="0F632B20">
      <w:pPr>
        <w:ind w:firstLine="480" w:firstLineChars="200"/>
        <w:jc w:val="both"/>
        <w:rPr>
          <w:szCs w:val="24"/>
        </w:rPr>
      </w:pPr>
      <w:r>
        <w:rPr>
          <w:b/>
          <w:color w:val="000000" w:themeColor="text1"/>
          <w:szCs w:val="24"/>
          <w14:textFill>
            <w14:solidFill>
              <w14:schemeClr w14:val="tx1"/>
            </w14:solidFill>
          </w14:textFill>
        </w:rPr>
        <w:t>Article 32.</w:t>
      </w:r>
      <w:r>
        <w:rPr>
          <w:szCs w:val="24"/>
        </w:rPr>
        <w:t xml:space="preserve"> Qualified institutions of higher learning shall be encouraged to carry out academic education and continuing education for western medicine learning TCM, so as to train high-level talents of integrated TCM and western medicine.</w:t>
      </w:r>
    </w:p>
    <w:p w14:paraId="10A789EA">
      <w:pPr>
        <w:ind w:firstLine="480" w:firstLineChars="200"/>
        <w:jc w:val="both"/>
        <w:rPr>
          <w:szCs w:val="24"/>
        </w:rPr>
      </w:pPr>
      <w:r>
        <w:rPr>
          <w:b/>
          <w:color w:val="000000" w:themeColor="text1"/>
          <w:szCs w:val="24"/>
          <w14:textFill>
            <w14:solidFill>
              <w14:schemeClr w14:val="tx1"/>
            </w14:solidFill>
          </w14:textFill>
        </w:rPr>
        <w:t>Article 33.</w:t>
      </w:r>
      <w:r>
        <w:rPr>
          <w:szCs w:val="24"/>
        </w:rPr>
        <w:t xml:space="preserve"> The competent TCM department of the people's government at the county level and upwards shall strengthen the training of the basic TCM knowledge and skills for medical personnel at the grass-roots level, and encourage the provincial, municipal and county-renowned professional and technical TCM personnel with rich clinical experience in their respective regions to take their apprentices to teach in accordance with relevant regulations. In accordance with the provisions of the teaching situation as the title evaluation, evaluation of the relevant basis.</w:t>
      </w:r>
    </w:p>
    <w:p w14:paraId="7FC38B47">
      <w:pPr>
        <w:ind w:firstLine="480" w:firstLineChars="200"/>
        <w:jc w:val="both"/>
        <w:rPr>
          <w:szCs w:val="24"/>
        </w:rPr>
      </w:pPr>
      <w:r>
        <w:rPr>
          <w:b/>
          <w:color w:val="000000" w:themeColor="text1"/>
          <w:szCs w:val="24"/>
          <w14:textFill>
            <w14:solidFill>
              <w14:schemeClr w14:val="tx1"/>
            </w14:solidFill>
          </w14:textFill>
        </w:rPr>
        <w:t>Article 34.</w:t>
      </w:r>
      <w:r>
        <w:rPr>
          <w:szCs w:val="24"/>
        </w:rPr>
        <w:t xml:space="preserve"> The relevant departments of the provincial people's government shall formulate policies to support TCM talents at the grass-roots level, and give support in the areas of basic treatment, scientific research, and evaluation of professional titles.</w:t>
      </w:r>
    </w:p>
    <w:p w14:paraId="47034056">
      <w:pPr>
        <w:ind w:firstLine="480" w:firstLineChars="200"/>
        <w:jc w:val="both"/>
        <w:rPr>
          <w:szCs w:val="24"/>
        </w:rPr>
      </w:pPr>
      <w:r>
        <w:rPr>
          <w:szCs w:val="24"/>
        </w:rPr>
        <w:t>The people's governments at the county level and upwards shall formulate policies for the introduction of TCM talents, and recruit TCM talents at the grass-roots level through targeted training and purchase of services.</w:t>
      </w:r>
    </w:p>
    <w:p w14:paraId="50E95158">
      <w:pPr>
        <w:jc w:val="both"/>
        <w:rPr>
          <w:szCs w:val="24"/>
        </w:rPr>
      </w:pPr>
    </w:p>
    <w:p w14:paraId="39FAF82A">
      <w:pPr>
        <w:jc w:val="center"/>
        <w:rPr>
          <w:b/>
          <w:bCs/>
          <w:sz w:val="32"/>
          <w:szCs w:val="32"/>
        </w:rPr>
      </w:pPr>
      <w:r>
        <w:rPr>
          <w:b/>
          <w:bCs/>
          <w:sz w:val="32"/>
          <w:szCs w:val="32"/>
        </w:rPr>
        <w:t>Chapter V</w:t>
      </w:r>
      <w:r>
        <w:rPr>
          <w:rFonts w:hint="eastAsia" w:eastAsia="宋体"/>
          <w:b/>
          <w:bCs/>
          <w:sz w:val="32"/>
          <w:szCs w:val="32"/>
          <w:lang w:eastAsia="zh-CN"/>
        </w:rPr>
        <w:t xml:space="preserve"> </w:t>
      </w:r>
      <w:r>
        <w:rPr>
          <w:b/>
          <w:bCs/>
          <w:sz w:val="32"/>
          <w:szCs w:val="32"/>
        </w:rPr>
        <w:t xml:space="preserve"> TCM Inheritance and Cultural Transmission</w:t>
      </w:r>
    </w:p>
    <w:p w14:paraId="65029F2F">
      <w:pPr>
        <w:jc w:val="center"/>
        <w:rPr>
          <w:b/>
          <w:bCs/>
          <w:sz w:val="32"/>
          <w:szCs w:val="32"/>
        </w:rPr>
      </w:pPr>
    </w:p>
    <w:p w14:paraId="3B9FEE23">
      <w:pPr>
        <w:ind w:firstLine="480" w:firstLineChars="200"/>
        <w:jc w:val="both"/>
        <w:rPr>
          <w:szCs w:val="24"/>
        </w:rPr>
      </w:pPr>
      <w:r>
        <w:rPr>
          <w:b/>
          <w:color w:val="000000" w:themeColor="text1"/>
          <w:szCs w:val="24"/>
          <w14:textFill>
            <w14:solidFill>
              <w14:schemeClr w14:val="tx1"/>
            </w14:solidFill>
          </w14:textFill>
        </w:rPr>
        <w:t>Article 35.</w:t>
      </w:r>
      <w:r>
        <w:rPr>
          <w:szCs w:val="24"/>
        </w:rPr>
        <w:t xml:space="preserve"> the people's governments at the county level and upwards shall organize relevant departments to regularly carry out the selection of famous TCM physicians.</w:t>
      </w:r>
    </w:p>
    <w:p w14:paraId="002299FA">
      <w:pPr>
        <w:ind w:firstLine="480" w:firstLineChars="200"/>
        <w:jc w:val="both"/>
        <w:rPr>
          <w:szCs w:val="24"/>
        </w:rPr>
      </w:pPr>
      <w:r>
        <w:rPr>
          <w:b/>
          <w:color w:val="000000" w:themeColor="text1"/>
          <w:szCs w:val="24"/>
          <w14:textFill>
            <w14:solidFill>
              <w14:schemeClr w14:val="tx1"/>
            </w14:solidFill>
          </w14:textFill>
        </w:rPr>
        <w:t>Article 36.</w:t>
      </w:r>
      <w:r>
        <w:rPr>
          <w:szCs w:val="24"/>
        </w:rPr>
        <w:t xml:space="preserve"> The academic thought and clinical diagnosis and treatment experience of famous TCM experts shall be supported, as well as the excavation, arrangement, research and utilization of the experience and technology of diagnosis and treatment with folk characteristics of TCM.</w:t>
      </w:r>
    </w:p>
    <w:p w14:paraId="0080A27B">
      <w:pPr>
        <w:ind w:firstLine="480" w:firstLineChars="200"/>
        <w:jc w:val="both"/>
        <w:rPr>
          <w:szCs w:val="24"/>
        </w:rPr>
      </w:pPr>
      <w:r>
        <w:rPr>
          <w:szCs w:val="24"/>
        </w:rPr>
        <w:t>Organizations and individuals shall be encouraged to donate or invest in TCM literature, secret prescriptions, proved recipes, methods of diagnosis and treatment, and techniques of scientific research and clinical application.</w:t>
      </w:r>
    </w:p>
    <w:p w14:paraId="644A5864">
      <w:pPr>
        <w:ind w:firstLine="480" w:firstLineChars="200"/>
        <w:jc w:val="both"/>
        <w:rPr>
          <w:szCs w:val="24"/>
        </w:rPr>
      </w:pPr>
      <w:r>
        <w:rPr>
          <w:b/>
          <w:color w:val="000000" w:themeColor="text1"/>
          <w:szCs w:val="24"/>
          <w14:textFill>
            <w14:solidFill>
              <w14:schemeClr w14:val="tx1"/>
            </w14:solidFill>
          </w14:textFill>
        </w:rPr>
        <w:t>Article 37.</w:t>
      </w:r>
      <w:r>
        <w:rPr>
          <w:szCs w:val="24"/>
        </w:rPr>
        <w:t xml:space="preserve"> The competent culture and tourism departments of the people's governments at the county level and upwards shall, in coordination with the competent TCM departments, do a good job in recommending, declaring and selecting representative projects of intangible cultural heritage of TCM, and promote the protection, preservation and inheritance of intangible cultural heritage of TCM.</w:t>
      </w:r>
    </w:p>
    <w:p w14:paraId="0189A16F">
      <w:pPr>
        <w:ind w:firstLine="480" w:firstLineChars="200"/>
        <w:jc w:val="both"/>
        <w:rPr>
          <w:szCs w:val="24"/>
        </w:rPr>
      </w:pPr>
      <w:r>
        <w:rPr>
          <w:b/>
          <w:color w:val="000000" w:themeColor="text1"/>
          <w:szCs w:val="24"/>
          <w14:textFill>
            <w14:solidFill>
              <w14:schemeClr w14:val="tx1"/>
            </w14:solidFill>
          </w14:textFill>
        </w:rPr>
        <w:t>Article 38.</w:t>
      </w:r>
      <w:r>
        <w:rPr>
          <w:szCs w:val="24"/>
        </w:rPr>
        <w:t xml:space="preserve"> The people's governments at the county level and upwards and their competent TCM departments shall strengthen the construction of experts in the popularization of TCM culture and the construction of propaganda and education bases for TCM culture, and carry out propaganda on the popularization of TCM culture; popularize the knowledge and methods of TCM health care, and promote the healthy lifestyle which embodies the concept of TCM preventive treatment of disease.</w:t>
      </w:r>
    </w:p>
    <w:p w14:paraId="3B176FF2">
      <w:pPr>
        <w:ind w:firstLine="480" w:firstLineChars="200"/>
        <w:jc w:val="both"/>
        <w:rPr>
          <w:szCs w:val="24"/>
        </w:rPr>
      </w:pPr>
      <w:r>
        <w:rPr>
          <w:szCs w:val="24"/>
        </w:rPr>
        <w:t>TCM medical institutions, trade associations and societies shall carry out propaganda activities on TCM culture and health concept to popularize TCM knowledge.</w:t>
      </w:r>
    </w:p>
    <w:p w14:paraId="1A406BC9">
      <w:pPr>
        <w:ind w:firstLine="480" w:firstLineChars="200"/>
        <w:jc w:val="both"/>
        <w:rPr>
          <w:szCs w:val="24"/>
        </w:rPr>
      </w:pPr>
      <w:r>
        <w:rPr>
          <w:szCs w:val="24"/>
        </w:rPr>
        <w:t>The competent education department of the provincial people's government shall incorporate the knowledge of TCM into health education in primary and secondary schools. Qualified areas and schools shall be encouraged to develop school-based courses with TCM characteristics.</w:t>
      </w:r>
    </w:p>
    <w:p w14:paraId="38F0FF51">
      <w:pPr>
        <w:ind w:firstLine="480" w:firstLineChars="200"/>
        <w:jc w:val="both"/>
        <w:rPr>
          <w:szCs w:val="24"/>
        </w:rPr>
      </w:pPr>
      <w:r>
        <w:rPr>
          <w:b/>
          <w:color w:val="000000" w:themeColor="text1"/>
          <w:szCs w:val="24"/>
          <w14:textFill>
            <w14:solidFill>
              <w14:schemeClr w14:val="tx1"/>
            </w14:solidFill>
          </w14:textFill>
        </w:rPr>
        <w:t>Article 39.</w:t>
      </w:r>
      <w:r>
        <w:rPr>
          <w:szCs w:val="24"/>
        </w:rPr>
        <w:t xml:space="preserve"> The competent TCM departments of the people's governments at the county level and upwards shall encourage the development of foreign-related TCM services, support the construction of TCM trade platforms, foster foreign-related TCM service enterprises, and promote TCM products with</w:t>
      </w:r>
      <w:r>
        <w:rPr>
          <w:rFonts w:hint="eastAsia" w:eastAsia="宋体"/>
          <w:szCs w:val="24"/>
          <w:lang w:eastAsia="zh-CN"/>
        </w:rPr>
        <w:t xml:space="preserve"> </w:t>
      </w:r>
      <w:r>
        <w:rPr>
          <w:szCs w:val="24"/>
        </w:rPr>
        <w:t xml:space="preserve"> Jilin’s characteristics.</w:t>
      </w:r>
    </w:p>
    <w:p w14:paraId="2AF0F11F">
      <w:pPr>
        <w:jc w:val="both"/>
        <w:rPr>
          <w:szCs w:val="24"/>
        </w:rPr>
      </w:pPr>
    </w:p>
    <w:p w14:paraId="1E5466EC">
      <w:pPr>
        <w:jc w:val="center"/>
        <w:rPr>
          <w:b/>
          <w:bCs/>
          <w:sz w:val="32"/>
          <w:szCs w:val="32"/>
        </w:rPr>
      </w:pPr>
      <w:r>
        <w:rPr>
          <w:b/>
          <w:bCs/>
          <w:sz w:val="32"/>
          <w:szCs w:val="32"/>
        </w:rPr>
        <w:t xml:space="preserve">Chapter VI </w:t>
      </w:r>
      <w:r>
        <w:rPr>
          <w:rFonts w:hint="eastAsia" w:eastAsia="宋体"/>
          <w:b/>
          <w:bCs/>
          <w:sz w:val="32"/>
          <w:szCs w:val="32"/>
          <w:lang w:eastAsia="zh-CN"/>
        </w:rPr>
        <w:t xml:space="preserve"> </w:t>
      </w:r>
      <w:r>
        <w:rPr>
          <w:b/>
          <w:bCs/>
          <w:sz w:val="32"/>
          <w:szCs w:val="32"/>
        </w:rPr>
        <w:t>Guarantee Measures</w:t>
      </w:r>
    </w:p>
    <w:p w14:paraId="1FFE5732">
      <w:pPr>
        <w:jc w:val="both"/>
        <w:rPr>
          <w:szCs w:val="24"/>
        </w:rPr>
      </w:pPr>
    </w:p>
    <w:p w14:paraId="04723D8A">
      <w:pPr>
        <w:ind w:firstLine="480" w:firstLineChars="200"/>
        <w:jc w:val="both"/>
        <w:rPr>
          <w:szCs w:val="24"/>
        </w:rPr>
      </w:pPr>
      <w:r>
        <w:rPr>
          <w:b/>
          <w:color w:val="000000" w:themeColor="text1"/>
          <w:szCs w:val="24"/>
          <w14:textFill>
            <w14:solidFill>
              <w14:schemeClr w14:val="tx1"/>
            </w14:solidFill>
          </w14:textFill>
        </w:rPr>
        <w:t>Article 40.</w:t>
      </w:r>
      <w:r>
        <w:rPr>
          <w:szCs w:val="24"/>
        </w:rPr>
        <w:t xml:space="preserve"> The people's governments at the county level and upwards shall provide policy support and conditions for the development of TCM undertakings, and shall include funds for the development of TCM undertakings in the financial budget at the corresponding level, with emphasis</w:t>
      </w:r>
      <w:r>
        <w:rPr>
          <w:rFonts w:hint="eastAsia" w:eastAsia="宋体"/>
          <w:szCs w:val="24"/>
          <w:lang w:eastAsia="zh-CN"/>
        </w:rPr>
        <w:t xml:space="preserve"> </w:t>
      </w:r>
      <w:r>
        <w:rPr>
          <w:szCs w:val="24"/>
        </w:rPr>
        <w:t>on supporting the basic medical treatment, the protection and development of TCM, the cultivation</w:t>
      </w:r>
      <w:r>
        <w:rPr>
          <w:rFonts w:hint="eastAsia" w:eastAsia="宋体"/>
          <w:szCs w:val="24"/>
          <w:lang w:eastAsia="zh-CN"/>
        </w:rPr>
        <w:t xml:space="preserve"> </w:t>
      </w:r>
      <w:r>
        <w:rPr>
          <w:szCs w:val="24"/>
        </w:rPr>
        <w:t>of talents, and scientific research and innovation for TCM.</w:t>
      </w:r>
    </w:p>
    <w:p w14:paraId="0A17CC76">
      <w:pPr>
        <w:ind w:firstLine="480" w:firstLineChars="200"/>
        <w:jc w:val="both"/>
        <w:rPr>
          <w:szCs w:val="24"/>
        </w:rPr>
      </w:pPr>
      <w:r>
        <w:rPr>
          <w:b/>
          <w:color w:val="000000" w:themeColor="text1"/>
          <w:szCs w:val="24"/>
          <w14:textFill>
            <w14:solidFill>
              <w14:schemeClr w14:val="tx1"/>
            </w14:solidFill>
          </w14:textFill>
        </w:rPr>
        <w:t>Article 41.</w:t>
      </w:r>
      <w:r>
        <w:rPr>
          <w:szCs w:val="24"/>
        </w:rPr>
        <w:t xml:space="preserve"> The competent science and technology department and the competent TCM department of the provincial people's government shall establish a coordinated and linked management mechanism for TCM scientific research, and perfect the scientific research evaluation standards and innovative development mechanisms in accordance with the TCM laws. Supports shall be given to the TCM science research project establishment, the appraisal and the achievement reward.</w:t>
      </w:r>
    </w:p>
    <w:p w14:paraId="33E6D2D2">
      <w:pPr>
        <w:ind w:firstLine="480" w:firstLineChars="200"/>
        <w:jc w:val="both"/>
        <w:rPr>
          <w:szCs w:val="24"/>
        </w:rPr>
      </w:pPr>
      <w:r>
        <w:rPr>
          <w:szCs w:val="24"/>
        </w:rPr>
        <w:t>The people's governments at the county level and upwards shall incorporate TCM scientific research and technological innovation into local scientific and technological development plans and strengthen policy support for scientific research and technological innovation of TCM.</w:t>
      </w:r>
    </w:p>
    <w:p w14:paraId="269EF62E">
      <w:pPr>
        <w:ind w:firstLine="480" w:firstLineChars="200"/>
        <w:jc w:val="both"/>
        <w:rPr>
          <w:szCs w:val="24"/>
        </w:rPr>
      </w:pPr>
      <w:r>
        <w:rPr>
          <w:b/>
          <w:color w:val="000000" w:themeColor="text1"/>
          <w:szCs w:val="24"/>
          <w14:textFill>
            <w14:solidFill>
              <w14:schemeClr w14:val="tx1"/>
            </w14:solidFill>
          </w14:textFill>
        </w:rPr>
        <w:t>Article 42.</w:t>
      </w:r>
      <w:r>
        <w:rPr>
          <w:szCs w:val="24"/>
        </w:rPr>
        <w:t xml:space="preserve"> The people's governments at the county level and upwards shall support collaborative innovation among scientific research institutions, institutions of higher learning, medical institutions and pharmaceutical production enterprises to jointly establish scientific research bases.</w:t>
      </w:r>
    </w:p>
    <w:p w14:paraId="142A8CE4">
      <w:pPr>
        <w:ind w:firstLine="480" w:firstLineChars="200"/>
        <w:jc w:val="both"/>
        <w:rPr>
          <w:szCs w:val="24"/>
        </w:rPr>
      </w:pPr>
      <w:r>
        <w:rPr>
          <w:szCs w:val="24"/>
        </w:rPr>
        <w:t>Supports shall be given to the development of TCM major difficult diseases, new outbreaks of infectious diseases and other clinical research. The interdisciplinary integration and collaborative innovation shall be encouraged to tackle key problems.</w:t>
      </w:r>
    </w:p>
    <w:p w14:paraId="029ED2D4">
      <w:pPr>
        <w:ind w:firstLine="480" w:firstLineChars="200"/>
        <w:jc w:val="both"/>
        <w:rPr>
          <w:szCs w:val="24"/>
        </w:rPr>
      </w:pPr>
      <w:r>
        <w:rPr>
          <w:szCs w:val="24"/>
        </w:rPr>
        <w:t>Supports shall be given to the development of new TCM drugs with independent intellectual property rights, advanced TCM instruments and TCM pharmaceutical equipment; to  the use of modern technology and technology research and development of traditional Chinese patent medicine. Secondary development shall be intensified to cultivate competitive TCM brand.</w:t>
      </w:r>
    </w:p>
    <w:p w14:paraId="27A5232F">
      <w:pPr>
        <w:ind w:firstLine="480" w:firstLineChars="200"/>
        <w:jc w:val="both"/>
        <w:rPr>
          <w:szCs w:val="24"/>
        </w:rPr>
      </w:pPr>
      <w:r>
        <w:rPr>
          <w:szCs w:val="24"/>
        </w:rPr>
        <w:t>The development and promotion shall be encouraged in medicinal food, makeup, medicine bath and other genuine TCM products in Jilin Province.</w:t>
      </w:r>
    </w:p>
    <w:p w14:paraId="62EBC15D">
      <w:pPr>
        <w:ind w:firstLine="480" w:firstLineChars="200"/>
        <w:jc w:val="both"/>
        <w:rPr>
          <w:szCs w:val="24"/>
        </w:rPr>
      </w:pPr>
      <w:r>
        <w:rPr>
          <w:b/>
          <w:color w:val="000000" w:themeColor="text1"/>
          <w:szCs w:val="24"/>
          <w14:textFill>
            <w14:solidFill>
              <w14:schemeClr w14:val="tx1"/>
            </w14:solidFill>
          </w14:textFill>
        </w:rPr>
        <w:t>Article 43.</w:t>
      </w:r>
      <w:r>
        <w:rPr>
          <w:szCs w:val="24"/>
        </w:rPr>
        <w:t xml:space="preserve"> The provincial people's government shall organize the relevant departments</w:t>
      </w:r>
      <w:r>
        <w:rPr>
          <w:rFonts w:hint="eastAsia" w:eastAsia="宋体"/>
          <w:szCs w:val="24"/>
          <w:lang w:val="en-US" w:eastAsia="zh-CN"/>
        </w:rPr>
        <w:t xml:space="preserve"> </w:t>
      </w:r>
      <w:r>
        <w:rPr>
          <w:szCs w:val="24"/>
        </w:rPr>
        <w:t>of market supervision and administration, agriculture and rural areas, drug supervision and administration, and TCM to formulate or revise the following relevant TCM standards and norms in accordance with their duties, and announce to the public:</w:t>
      </w:r>
    </w:p>
    <w:p w14:paraId="489B40E8">
      <w:pPr>
        <w:ind w:firstLine="480" w:firstLineChars="200"/>
        <w:jc w:val="both"/>
        <w:rPr>
          <w:szCs w:val="24"/>
        </w:rPr>
      </w:pPr>
      <w:r>
        <w:rPr>
          <w:rFonts w:hint="eastAsia" w:eastAsia="宋体"/>
          <w:szCs w:val="24"/>
          <w:lang w:eastAsia="zh-CN"/>
        </w:rPr>
        <w:t>(1)</w:t>
      </w:r>
      <w:r>
        <w:rPr>
          <w:szCs w:val="24"/>
        </w:rPr>
        <w:t>Standard of TCM service and TCM quality control;</w:t>
      </w:r>
    </w:p>
    <w:p w14:paraId="602107AF">
      <w:pPr>
        <w:ind w:firstLine="480" w:firstLineChars="200"/>
        <w:jc w:val="both"/>
        <w:rPr>
          <w:szCs w:val="24"/>
        </w:rPr>
      </w:pPr>
      <w:r>
        <w:rPr>
          <w:rFonts w:hint="eastAsia" w:eastAsia="宋体"/>
          <w:szCs w:val="24"/>
          <w:lang w:eastAsia="zh-CN"/>
        </w:rPr>
        <w:t>(2)</w:t>
      </w:r>
      <w:r>
        <w:rPr>
          <w:szCs w:val="24"/>
        </w:rPr>
        <w:t>Quality standards for seeds and seedlings;</w:t>
      </w:r>
    </w:p>
    <w:p w14:paraId="2F8A456C">
      <w:pPr>
        <w:ind w:firstLine="480" w:firstLineChars="200"/>
        <w:jc w:val="both"/>
        <w:rPr>
          <w:szCs w:val="24"/>
        </w:rPr>
      </w:pPr>
      <w:r>
        <w:rPr>
          <w:rFonts w:hint="eastAsia" w:eastAsia="宋体"/>
          <w:szCs w:val="24"/>
          <w:lang w:eastAsia="zh-CN"/>
        </w:rPr>
        <w:t>(3)</w:t>
      </w:r>
      <w:r>
        <w:rPr>
          <w:szCs w:val="24"/>
        </w:rPr>
        <w:t>Specifications on farming and breeding fields management and the use of inputs;</w:t>
      </w:r>
    </w:p>
    <w:p w14:paraId="01C464EF">
      <w:pPr>
        <w:ind w:firstLine="480" w:firstLineChars="200"/>
        <w:jc w:val="both"/>
        <w:rPr>
          <w:szCs w:val="24"/>
        </w:rPr>
      </w:pPr>
      <w:r>
        <w:rPr>
          <w:rFonts w:hint="eastAsia" w:eastAsia="宋体"/>
          <w:szCs w:val="24"/>
          <w:lang w:eastAsia="zh-CN"/>
        </w:rPr>
        <w:t>(4)</w:t>
      </w:r>
      <w:r>
        <w:rPr>
          <w:szCs w:val="24"/>
        </w:rPr>
        <w:t>Specifications for harvesting and processing at producing areas;</w:t>
      </w:r>
    </w:p>
    <w:p w14:paraId="0C2B72C9">
      <w:pPr>
        <w:ind w:firstLine="480" w:firstLineChars="200"/>
        <w:jc w:val="both"/>
        <w:rPr>
          <w:szCs w:val="24"/>
        </w:rPr>
      </w:pPr>
      <w:r>
        <w:rPr>
          <w:rFonts w:hint="eastAsia" w:eastAsia="宋体"/>
          <w:szCs w:val="24"/>
          <w:lang w:eastAsia="zh-CN"/>
        </w:rPr>
        <w:t>(5)</w:t>
      </w:r>
      <w:r>
        <w:rPr>
          <w:szCs w:val="24"/>
        </w:rPr>
        <w:t>Specification for the processing of TCM crude slices;</w:t>
      </w:r>
    </w:p>
    <w:p w14:paraId="5B883278">
      <w:pPr>
        <w:ind w:firstLine="480" w:firstLineChars="200"/>
        <w:jc w:val="both"/>
        <w:rPr>
          <w:szCs w:val="24"/>
        </w:rPr>
      </w:pPr>
      <w:r>
        <w:rPr>
          <w:rFonts w:hint="eastAsia" w:eastAsia="宋体"/>
          <w:szCs w:val="24"/>
          <w:lang w:eastAsia="zh-CN"/>
        </w:rPr>
        <w:t>(6)</w:t>
      </w:r>
      <w:r>
        <w:rPr>
          <w:szCs w:val="24"/>
        </w:rPr>
        <w:t>Control standards for harmful substances such as pesticide or veterinary drug residues and heavy metal pollution;</w:t>
      </w:r>
    </w:p>
    <w:p w14:paraId="1D1DD7C2">
      <w:pPr>
        <w:ind w:firstLine="480" w:firstLineChars="200"/>
        <w:jc w:val="both"/>
        <w:rPr>
          <w:szCs w:val="24"/>
        </w:rPr>
      </w:pPr>
      <w:r>
        <w:rPr>
          <w:rFonts w:hint="eastAsia" w:eastAsia="宋体"/>
          <w:szCs w:val="24"/>
          <w:lang w:eastAsia="zh-CN"/>
        </w:rPr>
        <w:t>(7)</w:t>
      </w:r>
      <w:r>
        <w:rPr>
          <w:szCs w:val="24"/>
        </w:rPr>
        <w:t>Rating criteria;</w:t>
      </w:r>
    </w:p>
    <w:p w14:paraId="2B9C0A91">
      <w:pPr>
        <w:ind w:firstLine="480" w:firstLineChars="200"/>
        <w:jc w:val="both"/>
        <w:rPr>
          <w:szCs w:val="24"/>
        </w:rPr>
      </w:pPr>
      <w:r>
        <w:rPr>
          <w:rFonts w:hint="eastAsia" w:eastAsia="宋体"/>
          <w:szCs w:val="24"/>
          <w:lang w:eastAsia="zh-CN"/>
        </w:rPr>
        <w:t>(8)</w:t>
      </w:r>
      <w:r>
        <w:rPr>
          <w:szCs w:val="24"/>
        </w:rPr>
        <w:t>Packaging and warehousing specifications;</w:t>
      </w:r>
    </w:p>
    <w:p w14:paraId="410DB6A5">
      <w:pPr>
        <w:ind w:firstLine="480" w:firstLineChars="200"/>
        <w:jc w:val="both"/>
        <w:rPr>
          <w:szCs w:val="24"/>
        </w:rPr>
      </w:pPr>
      <w:r>
        <w:rPr>
          <w:rFonts w:hint="eastAsia" w:eastAsia="宋体"/>
          <w:szCs w:val="24"/>
          <w:lang w:eastAsia="zh-CN"/>
        </w:rPr>
        <w:t>(9)</w:t>
      </w:r>
      <w:r>
        <w:rPr>
          <w:szCs w:val="24"/>
        </w:rPr>
        <w:t>Other quality standards or technical service specifications.</w:t>
      </w:r>
    </w:p>
    <w:p w14:paraId="0340C5DE">
      <w:pPr>
        <w:ind w:firstLine="480" w:firstLineChars="200"/>
        <w:jc w:val="both"/>
        <w:rPr>
          <w:szCs w:val="24"/>
        </w:rPr>
      </w:pPr>
      <w:r>
        <w:rPr>
          <w:szCs w:val="24"/>
        </w:rPr>
        <w:t>TCM production enterprises shall be encouraged to formulate enterprise standards.</w:t>
      </w:r>
    </w:p>
    <w:p w14:paraId="11F0088D">
      <w:pPr>
        <w:ind w:firstLine="480" w:firstLineChars="200"/>
        <w:jc w:val="both"/>
        <w:rPr>
          <w:szCs w:val="24"/>
        </w:rPr>
      </w:pPr>
      <w:r>
        <w:rPr>
          <w:b/>
          <w:color w:val="000000" w:themeColor="text1"/>
          <w:szCs w:val="24"/>
          <w14:textFill>
            <w14:solidFill>
              <w14:schemeClr w14:val="tx1"/>
            </w14:solidFill>
          </w14:textFill>
        </w:rPr>
        <w:t>Article 44.</w:t>
      </w:r>
      <w:r>
        <w:rPr>
          <w:szCs w:val="24"/>
        </w:rPr>
        <w:t xml:space="preserve"> The relevant departments of the people's governments at the county level and upwards shall, in accordance with the authority of price management, rationally formulate the charging items and standards for TCM medical services in accordance with law, and establish a dynamic price management mechanism.</w:t>
      </w:r>
    </w:p>
    <w:p w14:paraId="3A47EFE1">
      <w:pPr>
        <w:ind w:firstLine="480" w:firstLineChars="200"/>
        <w:jc w:val="both"/>
        <w:rPr>
          <w:szCs w:val="24"/>
        </w:rPr>
      </w:pPr>
      <w:r>
        <w:rPr>
          <w:szCs w:val="24"/>
        </w:rPr>
        <w:t>To formulate and adjust the charging items and standards for TCM medical services, TCM experts shall be organized to review and demonstrate, the opinions of the competent departments of health and TCM and all relevant parties shall be heard fully, so as to reflect the cost of TCM medical services and the value of professional technology.</w:t>
      </w:r>
    </w:p>
    <w:p w14:paraId="4CC5B558">
      <w:pPr>
        <w:ind w:firstLine="480" w:firstLineChars="200"/>
        <w:jc w:val="both"/>
        <w:rPr>
          <w:szCs w:val="24"/>
        </w:rPr>
      </w:pPr>
      <w:r>
        <w:rPr>
          <w:b/>
          <w:color w:val="000000" w:themeColor="text1"/>
          <w:szCs w:val="24"/>
          <w14:textFill>
            <w14:solidFill>
              <w14:schemeClr w14:val="tx1"/>
            </w14:solidFill>
          </w14:textFill>
        </w:rPr>
        <w:t>Article 45.</w:t>
      </w:r>
      <w:r>
        <w:rPr>
          <w:szCs w:val="24"/>
        </w:rPr>
        <w:t xml:space="preserve"> The competent medical security department of the people's government of the Province or the city with districts shall, in accordance with the provisions of the State, bring qualified TCM medical institutions into the scope of designated medical institutions of basic medical insurance. The medical security department of the provincial people's government shall include qualified TCM diagnosis and treatment items, TCM pieces and TCM preparations in medical institutions into the basic medical insurance diagnosis and treatment items, as well as the catalogue of medical service facilities and drugs.</w:t>
      </w:r>
    </w:p>
    <w:p w14:paraId="16480E93">
      <w:pPr>
        <w:ind w:firstLine="480" w:firstLineChars="200"/>
        <w:jc w:val="both"/>
        <w:rPr>
          <w:szCs w:val="24"/>
        </w:rPr>
      </w:pPr>
      <w:r>
        <w:rPr>
          <w:szCs w:val="24"/>
        </w:rPr>
        <w:t>The competent medical security department of the people's government of the Province or the city with districts shall further strengthen the reform of medical insurance payment methods for TCM services in combination with the characteristics of TCM, and gradually improve the medical insurance payment methods that accord with the advantages of TCM characteristics.</w:t>
      </w:r>
    </w:p>
    <w:p w14:paraId="75D5D16C">
      <w:pPr>
        <w:ind w:firstLine="480" w:firstLineChars="200"/>
        <w:jc w:val="both"/>
        <w:rPr>
          <w:szCs w:val="24"/>
        </w:rPr>
      </w:pPr>
      <w:r>
        <w:rPr>
          <w:b/>
          <w:color w:val="000000" w:themeColor="text1"/>
          <w:szCs w:val="24"/>
          <w14:textFill>
            <w14:solidFill>
              <w14:schemeClr w14:val="tx1"/>
            </w14:solidFill>
          </w14:textFill>
        </w:rPr>
        <w:t>Article 46.</w:t>
      </w:r>
      <w:r>
        <w:rPr>
          <w:szCs w:val="24"/>
        </w:rPr>
        <w:t xml:space="preserve"> TCM medical institutions organized by social forces shall enjoy the same rights as public TCM medical institutions in access, practice, basic medical insurance, scientific research and teaching, professional title evaluation, discipline construction, etc.</w:t>
      </w:r>
    </w:p>
    <w:p w14:paraId="55564E73">
      <w:pPr>
        <w:ind w:firstLine="480" w:firstLineChars="200"/>
        <w:jc w:val="both"/>
        <w:rPr>
          <w:szCs w:val="24"/>
        </w:rPr>
      </w:pPr>
      <w:r>
        <w:rPr>
          <w:b/>
          <w:color w:val="000000" w:themeColor="text1"/>
          <w:szCs w:val="24"/>
          <w14:textFill>
            <w14:solidFill>
              <w14:schemeClr w14:val="tx1"/>
            </w14:solidFill>
          </w14:textFill>
        </w:rPr>
        <w:t>Article 47.</w:t>
      </w:r>
      <w:r>
        <w:rPr>
          <w:szCs w:val="24"/>
        </w:rPr>
        <w:t xml:space="preserve"> The people's governments at the county level and upwards and their relevant departments shall, in accordance with the relevant provisions of the State, commend and reward entities and individuals that have made remarkable achievements in the development of TCM.</w:t>
      </w:r>
    </w:p>
    <w:p w14:paraId="6F040C8E">
      <w:pPr>
        <w:jc w:val="both"/>
        <w:rPr>
          <w:szCs w:val="24"/>
        </w:rPr>
      </w:pPr>
    </w:p>
    <w:p w14:paraId="2F7EB0D3">
      <w:pPr>
        <w:jc w:val="center"/>
        <w:rPr>
          <w:b/>
          <w:bCs/>
          <w:sz w:val="32"/>
          <w:szCs w:val="32"/>
        </w:rPr>
      </w:pPr>
      <w:r>
        <w:rPr>
          <w:b/>
          <w:bCs/>
          <w:sz w:val="32"/>
          <w:szCs w:val="32"/>
        </w:rPr>
        <w:t xml:space="preserve">Chapter </w:t>
      </w:r>
      <w:r>
        <w:rPr>
          <w:rFonts w:hint="eastAsia" w:eastAsia="宋体"/>
          <w:b/>
          <w:bCs/>
          <w:sz w:val="32"/>
          <w:szCs w:val="32"/>
          <w:lang w:eastAsia="zh-CN"/>
        </w:rPr>
        <w:t xml:space="preserve"> </w:t>
      </w:r>
      <w:r>
        <w:rPr>
          <w:b/>
          <w:bCs/>
          <w:sz w:val="32"/>
          <w:szCs w:val="32"/>
        </w:rPr>
        <w:t>VII Legal Liabilities</w:t>
      </w:r>
    </w:p>
    <w:p w14:paraId="6D48F196">
      <w:pPr>
        <w:jc w:val="both"/>
        <w:rPr>
          <w:szCs w:val="24"/>
        </w:rPr>
      </w:pPr>
    </w:p>
    <w:p w14:paraId="121EC817">
      <w:pPr>
        <w:ind w:firstLine="480" w:firstLineChars="200"/>
        <w:jc w:val="both"/>
        <w:rPr>
          <w:szCs w:val="24"/>
        </w:rPr>
      </w:pPr>
      <w:r>
        <w:rPr>
          <w:b/>
          <w:color w:val="000000" w:themeColor="text1"/>
          <w:szCs w:val="24"/>
          <w14:textFill>
            <w14:solidFill>
              <w14:schemeClr w14:val="tx1"/>
            </w14:solidFill>
          </w14:textFill>
        </w:rPr>
        <w:t>Article 48.</w:t>
      </w:r>
      <w:r>
        <w:rPr>
          <w:szCs w:val="24"/>
        </w:rPr>
        <w:t>For any act that violates the provisions of these Regulations, the laws or administrative regulations that has prescribed legal liability shall apply.</w:t>
      </w:r>
    </w:p>
    <w:p w14:paraId="4B266623">
      <w:pPr>
        <w:ind w:firstLine="480" w:firstLineChars="200"/>
        <w:jc w:val="both"/>
        <w:rPr>
          <w:szCs w:val="24"/>
        </w:rPr>
      </w:pPr>
      <w:r>
        <w:rPr>
          <w:b/>
          <w:color w:val="000000" w:themeColor="text1"/>
          <w:szCs w:val="24"/>
          <w14:textFill>
            <w14:solidFill>
              <w14:schemeClr w14:val="tx1"/>
            </w14:solidFill>
          </w14:textFill>
        </w:rPr>
        <w:t>Article 49.</w:t>
      </w:r>
      <w:r>
        <w:rPr>
          <w:szCs w:val="24"/>
        </w:rPr>
        <w:t>Where the competent TCM department of the people's governments at the county level and upwards or any other relevant department fails to perform the functions prescribed in this Law, the people's government at the same level or the relevant department of the people's government at a higher level shall order the violator to take corrective action; and if the circumstances are serious, shall take disciplinary actions against the directly responsible person in charge and other directly liable persons in accordance with the law.</w:t>
      </w:r>
    </w:p>
    <w:p w14:paraId="1B827158">
      <w:pPr>
        <w:jc w:val="both"/>
        <w:rPr>
          <w:szCs w:val="24"/>
        </w:rPr>
      </w:pPr>
    </w:p>
    <w:p w14:paraId="49F2B9A2">
      <w:pPr>
        <w:jc w:val="center"/>
        <w:rPr>
          <w:b/>
          <w:bCs/>
          <w:sz w:val="32"/>
          <w:szCs w:val="32"/>
        </w:rPr>
      </w:pPr>
      <w:r>
        <w:rPr>
          <w:b/>
          <w:bCs/>
          <w:sz w:val="32"/>
          <w:szCs w:val="32"/>
        </w:rPr>
        <w:t xml:space="preserve">Chapter VIII </w:t>
      </w:r>
      <w:r>
        <w:rPr>
          <w:rFonts w:hint="eastAsia" w:eastAsia="宋体"/>
          <w:b/>
          <w:bCs/>
          <w:sz w:val="32"/>
          <w:szCs w:val="32"/>
          <w:lang w:eastAsia="zh-CN"/>
        </w:rPr>
        <w:t xml:space="preserve"> </w:t>
      </w:r>
      <w:r>
        <w:rPr>
          <w:b/>
          <w:bCs/>
          <w:sz w:val="32"/>
          <w:szCs w:val="32"/>
        </w:rPr>
        <w:t>Supplementary Provisions</w:t>
      </w:r>
    </w:p>
    <w:p w14:paraId="6B5F1296">
      <w:pPr>
        <w:jc w:val="both"/>
        <w:rPr>
          <w:szCs w:val="24"/>
        </w:rPr>
      </w:pPr>
    </w:p>
    <w:p w14:paraId="11F333DA">
      <w:pPr>
        <w:ind w:firstLine="480" w:firstLineChars="200"/>
        <w:jc w:val="both"/>
        <w:rPr>
          <w:szCs w:val="24"/>
        </w:rPr>
      </w:pPr>
      <w:r>
        <w:rPr>
          <w:b/>
          <w:color w:val="000000" w:themeColor="text1"/>
          <w:szCs w:val="24"/>
          <w14:textFill>
            <w14:solidFill>
              <w14:schemeClr w14:val="tx1"/>
            </w14:solidFill>
          </w14:textFill>
        </w:rPr>
        <w:t>Article 50.</w:t>
      </w:r>
      <w:r>
        <w:rPr>
          <w:szCs w:val="24"/>
        </w:rPr>
        <w:t xml:space="preserve"> These Regulations shall become into effective on January 1, 2021. The Regulations of Jilin Province on the Development of Traditional Chinese Medical Science shall be repealed at the same time.</w:t>
      </w:r>
    </w:p>
    <w:sectPr>
      <w:footerReference r:id="rId6" w:type="default"/>
      <w:headerReference r:id="rId5" w:type="even"/>
      <w:footerReference r:id="rId7" w:type="even"/>
      <w:pgSz w:w="10780" w:h="15090"/>
      <w:pgMar w:top="1440" w:right="1800" w:bottom="1440" w:left="1800" w:header="0" w:footer="1048"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751FE">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23351A83">
                          <w:pPr>
                            <w:spacing w:line="316" w:lineRule="exact"/>
                            <w:ind w:left="20"/>
                            <w:rPr>
                              <w:rFonts w:ascii="Arial Unicode MS" w:hAnsi="Arial Unicode MS"/>
                            </w:rPr>
                          </w:pPr>
                          <w:r>
                            <w:rPr>
                              <w:rFonts w:ascii="Arial Unicode MS" w:hAnsi="Arial Unicode MS"/>
                              <w:color w:val="231F20"/>
                            </w:rPr>
                            <w:t xml:space="preserve">— </w:t>
                          </w:r>
                          <w:r>
                            <w:fldChar w:fldCharType="begin"/>
                          </w:r>
                          <w:r>
                            <w:rPr>
                              <w:rFonts w:ascii="Arial Unicode MS" w:hAnsi="Arial Unicode MS"/>
                              <w:color w:val="231F20"/>
                            </w:rPr>
                            <w:instrText xml:space="preserve"> PAGE </w:instrText>
                          </w:r>
                          <w:r>
                            <w:fldChar w:fldCharType="separate"/>
                          </w:r>
                          <w:r>
                            <w:rPr>
                              <w:rFonts w:ascii="Arial Unicode MS" w:hAnsi="Arial Unicode MS"/>
                              <w:color w:val="231F20"/>
                            </w:rPr>
                            <w:t>16</w:t>
                          </w:r>
                          <w:r>
                            <w:fldChar w:fldCharType="end"/>
                          </w:r>
                          <w:r>
                            <w:rPr>
                              <w:rFonts w:ascii="Arial Unicode MS" w:hAnsi="Arial Unicode MS"/>
                              <w:color w:val="231F20"/>
                              <w:spacing w:val="-41"/>
                            </w:rPr>
                            <w:t xml:space="preserve"> </w:t>
                          </w:r>
                          <w:r>
                            <w:rPr>
                              <w:rFonts w:ascii="Arial Unicode MS" w:hAnsi="Arial Unicode MS"/>
                              <w:color w:val="231F20"/>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4144;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1fjXbAAAADQEAAA8AAAAAAAAA&#10;AQAgAAAAIgAAAGRycy9kb3ducmV2LnhtbFBLAQIUABQAAAAIAIdO4kBSIlLEDgIAAAgEAAAOAAAA&#10;AAAAAAEAIAAAACoBAABkcnMvZTJvRG9jLnhtbFBLBQYAAAAABgAGAFkBAACqBQAAAAA=&#10;">
              <v:fill on="f" focussize="0,0"/>
              <v:stroke on="f"/>
              <v:imagedata o:title=""/>
              <o:lock v:ext="edit" aspectratio="f"/>
              <v:textbox inset="0mm,0mm,0mm,0mm">
                <w:txbxContent>
                  <w:p w14:paraId="23351A83">
                    <w:pPr>
                      <w:spacing w:line="316" w:lineRule="exact"/>
                      <w:ind w:left="20"/>
                      <w:rPr>
                        <w:rFonts w:ascii="Arial Unicode MS" w:hAnsi="Arial Unicode MS"/>
                      </w:rPr>
                    </w:pPr>
                    <w:r>
                      <w:rPr>
                        <w:rFonts w:ascii="Arial Unicode MS" w:hAnsi="Arial Unicode MS"/>
                        <w:color w:val="231F20"/>
                      </w:rPr>
                      <w:t xml:space="preserve">— </w:t>
                    </w:r>
                    <w:r>
                      <w:fldChar w:fldCharType="begin"/>
                    </w:r>
                    <w:r>
                      <w:rPr>
                        <w:rFonts w:ascii="Arial Unicode MS" w:hAnsi="Arial Unicode MS"/>
                        <w:color w:val="231F20"/>
                      </w:rPr>
                      <w:instrText xml:space="preserve"> PAGE </w:instrText>
                    </w:r>
                    <w:r>
                      <w:fldChar w:fldCharType="separate"/>
                    </w:r>
                    <w:r>
                      <w:rPr>
                        <w:rFonts w:ascii="Arial Unicode MS" w:hAnsi="Arial Unicode MS"/>
                        <w:color w:val="231F20"/>
                      </w:rPr>
                      <w:t>16</w:t>
                    </w:r>
                    <w:r>
                      <w:fldChar w:fldCharType="end"/>
                    </w:r>
                    <w:r>
                      <w:rPr>
                        <w:rFonts w:ascii="Arial Unicode MS" w:hAnsi="Arial Unicode MS"/>
                        <w:color w:val="231F20"/>
                        <w:spacing w:val="-41"/>
                      </w:rPr>
                      <w:t xml:space="preserve"> </w:t>
                    </w:r>
                    <w:r>
                      <w:rPr>
                        <w:rFonts w:ascii="Arial Unicode MS" w:hAnsi="Arial Unicode MS"/>
                        <w:color w:val="231F20"/>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2A4EC">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2EE1A61F">
                          <w:pPr>
                            <w:spacing w:line="316" w:lineRule="exact"/>
                            <w:ind w:left="20"/>
                            <w:rPr>
                              <w:rFonts w:ascii="Arial Unicode MS" w:hAnsi="Arial Unicode MS"/>
                            </w:rPr>
                          </w:pPr>
                          <w:r>
                            <w:rPr>
                              <w:rFonts w:ascii="Arial Unicode MS" w:hAnsi="Arial Unicode MS"/>
                              <w:color w:val="231F20"/>
                            </w:rPr>
                            <w:t xml:space="preserve">— </w:t>
                          </w:r>
                          <w:r>
                            <w:fldChar w:fldCharType="begin"/>
                          </w:r>
                          <w:r>
                            <w:rPr>
                              <w:rFonts w:ascii="Arial Unicode MS" w:hAnsi="Arial Unicode MS"/>
                              <w:color w:val="231F20"/>
                            </w:rPr>
                            <w:instrText xml:space="preserve"> PAGE </w:instrText>
                          </w:r>
                          <w:r>
                            <w:fldChar w:fldCharType="separate"/>
                          </w:r>
                          <w:r>
                            <w:rPr>
                              <w:rFonts w:ascii="Arial Unicode MS" w:hAnsi="Arial Unicode MS"/>
                              <w:color w:val="231F20"/>
                            </w:rPr>
                            <w:t>18</w:t>
                          </w:r>
                          <w:r>
                            <w:fldChar w:fldCharType="end"/>
                          </w:r>
                          <w:r>
                            <w:rPr>
                              <w:rFonts w:ascii="Arial Unicode MS" w:hAnsi="Arial Unicode MS"/>
                              <w:color w:val="231F20"/>
                              <w:spacing w:val="-41"/>
                            </w:rPr>
                            <w:t xml:space="preserve"> </w:t>
                          </w:r>
                          <w:r>
                            <w:rPr>
                              <w:rFonts w:ascii="Arial Unicode MS" w:hAnsi="Arial Unicode MS"/>
                              <w:color w:val="231F20"/>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2EE1A61F">
                    <w:pPr>
                      <w:spacing w:line="316" w:lineRule="exact"/>
                      <w:ind w:left="20"/>
                      <w:rPr>
                        <w:rFonts w:ascii="Arial Unicode MS" w:hAnsi="Arial Unicode MS"/>
                      </w:rPr>
                    </w:pPr>
                    <w:r>
                      <w:rPr>
                        <w:rFonts w:ascii="Arial Unicode MS" w:hAnsi="Arial Unicode MS"/>
                        <w:color w:val="231F20"/>
                      </w:rPr>
                      <w:t xml:space="preserve">— </w:t>
                    </w:r>
                    <w:r>
                      <w:fldChar w:fldCharType="begin"/>
                    </w:r>
                    <w:r>
                      <w:rPr>
                        <w:rFonts w:ascii="Arial Unicode MS" w:hAnsi="Arial Unicode MS"/>
                        <w:color w:val="231F20"/>
                      </w:rPr>
                      <w:instrText xml:space="preserve"> PAGE </w:instrText>
                    </w:r>
                    <w:r>
                      <w:fldChar w:fldCharType="separate"/>
                    </w:r>
                    <w:r>
                      <w:rPr>
                        <w:rFonts w:ascii="Arial Unicode MS" w:hAnsi="Arial Unicode MS"/>
                        <w:color w:val="231F20"/>
                      </w:rPr>
                      <w:t>18</w:t>
                    </w:r>
                    <w:r>
                      <w:fldChar w:fldCharType="end"/>
                    </w:r>
                    <w:r>
                      <w:rPr>
                        <w:rFonts w:ascii="Arial Unicode MS" w:hAnsi="Arial Unicode MS"/>
                        <w:color w:val="231F20"/>
                        <w:spacing w:val="-41"/>
                      </w:rPr>
                      <w:t xml:space="preserve"> </w:t>
                    </w:r>
                    <w:r>
                      <w:rPr>
                        <w:rFonts w:ascii="Arial Unicode MS" w:hAnsi="Arial Unicode MS"/>
                        <w:color w:val="231F20"/>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7C469">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4C23D1AD">
                          <w:pPr>
                            <w:spacing w:line="301" w:lineRule="exact"/>
                            <w:ind w:left="20"/>
                            <w:rPr>
                              <w:rFonts w:ascii="PMingLiU" w:eastAsia="PMingLiU"/>
                            </w:rPr>
                          </w:pPr>
                          <w:r>
                            <w:rPr>
                              <w:rFonts w:hint="eastAsia" w:ascii="PMingLiU" w:eastAsia="PMingLiU"/>
                              <w:color w:val="231F20"/>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4C23D1AD">
                    <w:pPr>
                      <w:spacing w:line="301" w:lineRule="exact"/>
                      <w:ind w:left="20"/>
                      <w:rPr>
                        <w:rFonts w:ascii="PMingLiU" w:eastAsia="PMingLiU"/>
                      </w:rPr>
                    </w:pPr>
                    <w:r>
                      <w:rPr>
                        <w:rFonts w:hint="eastAsia" w:ascii="PMingLiU" w:eastAsia="PMingLiU"/>
                        <w:color w:val="231F20"/>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87C0E"/>
    <w:rsid w:val="001B7B6D"/>
    <w:rsid w:val="001E53CD"/>
    <w:rsid w:val="001F0945"/>
    <w:rsid w:val="00237F8D"/>
    <w:rsid w:val="0026737C"/>
    <w:rsid w:val="0028278F"/>
    <w:rsid w:val="002C60AD"/>
    <w:rsid w:val="003868D4"/>
    <w:rsid w:val="0039043B"/>
    <w:rsid w:val="0041551A"/>
    <w:rsid w:val="004B4646"/>
    <w:rsid w:val="004D61EC"/>
    <w:rsid w:val="004D6724"/>
    <w:rsid w:val="00504787"/>
    <w:rsid w:val="00510ECE"/>
    <w:rsid w:val="005370C5"/>
    <w:rsid w:val="005B7DF2"/>
    <w:rsid w:val="005E144D"/>
    <w:rsid w:val="006030A5"/>
    <w:rsid w:val="00671880"/>
    <w:rsid w:val="006A4A29"/>
    <w:rsid w:val="006B0A6E"/>
    <w:rsid w:val="006D4307"/>
    <w:rsid w:val="006E1BBB"/>
    <w:rsid w:val="007461AA"/>
    <w:rsid w:val="00751BBA"/>
    <w:rsid w:val="00774FBC"/>
    <w:rsid w:val="00776CCD"/>
    <w:rsid w:val="007D6AEA"/>
    <w:rsid w:val="00803CE7"/>
    <w:rsid w:val="0086765A"/>
    <w:rsid w:val="00876987"/>
    <w:rsid w:val="00891A41"/>
    <w:rsid w:val="008A060A"/>
    <w:rsid w:val="008F672F"/>
    <w:rsid w:val="0098339E"/>
    <w:rsid w:val="009937F9"/>
    <w:rsid w:val="00A170E1"/>
    <w:rsid w:val="00A34FEC"/>
    <w:rsid w:val="00A42E0B"/>
    <w:rsid w:val="00A47BBE"/>
    <w:rsid w:val="00B86845"/>
    <w:rsid w:val="00BC1791"/>
    <w:rsid w:val="00C02C0E"/>
    <w:rsid w:val="00C30B67"/>
    <w:rsid w:val="00C45FB1"/>
    <w:rsid w:val="00C76CDB"/>
    <w:rsid w:val="00C810E8"/>
    <w:rsid w:val="00D706F2"/>
    <w:rsid w:val="00DA031B"/>
    <w:rsid w:val="00E04AF0"/>
    <w:rsid w:val="00E13A62"/>
    <w:rsid w:val="00E342E9"/>
    <w:rsid w:val="00EF0F3A"/>
    <w:rsid w:val="00F05EA9"/>
    <w:rsid w:val="00F34DDA"/>
    <w:rsid w:val="00F6711F"/>
    <w:rsid w:val="1D0078A1"/>
    <w:rsid w:val="275A6146"/>
    <w:rsid w:val="4D900DE3"/>
    <w:rsid w:val="53DF3F16"/>
    <w:rsid w:val="56D13566"/>
    <w:rsid w:val="7B625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360" w:lineRule="auto"/>
    </w:pPr>
    <w:rPr>
      <w:rFonts w:ascii="Times New Roman" w:hAnsi="Times New Roman" w:eastAsia="Times New Roman" w:cs="Times New Roman"/>
      <w:sz w:val="24"/>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Cs w:val="24"/>
    </w:rPr>
  </w:style>
  <w:style w:type="paragraph" w:styleId="4">
    <w:name w:val="heading 3"/>
    <w:basedOn w:val="1"/>
    <w:next w:val="1"/>
    <w:link w:val="21"/>
    <w:qFormat/>
    <w:uiPriority w:val="1"/>
    <w:pPr>
      <w:ind w:left="225"/>
      <w:outlineLvl w:val="2"/>
    </w:pPr>
    <w:rPr>
      <w:rFonts w:ascii="PMingLiU" w:hAnsi="PMingLiU" w:eastAsia="PMingLiU" w:cs="PMingLiU"/>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3728</Words>
  <Characters>22179</Characters>
  <Lines>184</Lines>
  <Paragraphs>51</Paragraphs>
  <TotalTime>21</TotalTime>
  <ScaleCrop>false</ScaleCrop>
  <LinksUpToDate>false</LinksUpToDate>
  <CharactersWithSpaces>25816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2023-02-26T01:17:00Z</dcterms:created>
  <dc:creator>admin</dc:creator>
  <cp:lastModifiedBy>树袋熊</cp:lastModifiedBy>
  <dcterms:modified xsi:type="dcterms:W3CDTF">2025-09-09T01:07:24Z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925ED0EB1CA647DA8B60E3E89327D9B6_13</vt:lpwstr>
  </property>
  <property fmtid="{D5CDD505-2E9C-101B-9397-08002B2CF9AE}" pid="4" name="KSOTemplateDocerSaveRecord">
    <vt:lpwstr>eyJoZGlkIjoiNzNhZjJiODI2ZDZmMjQ1MWEyYWU5OGNiNWZhYTcyYTQiLCJ1c2VySWQiOiIxMjc3NTkxOTUzIn0=</vt:lpwstr>
  </property>
</Properties>
</file>