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B4B43">
      <w:pPr>
        <w:spacing w:line="240" w:lineRule="auto"/>
      </w:pPr>
    </w:p>
    <w:p w14:paraId="7874BECF">
      <w:pPr>
        <w:spacing w:line="240" w:lineRule="auto"/>
      </w:pPr>
    </w:p>
    <w:p w14:paraId="59EEAF06">
      <w:pPr>
        <w:spacing w:line="240" w:lineRule="auto"/>
      </w:pPr>
    </w:p>
    <w:p w14:paraId="5016C932">
      <w:pPr>
        <w:spacing w:line="240" w:lineRule="auto"/>
        <w:jc w:val="center"/>
        <w:rPr>
          <w:rFonts w:hint="default" w:eastAsia="宋体"/>
          <w:b/>
          <w:bCs/>
          <w:sz w:val="44"/>
          <w:szCs w:val="44"/>
          <w:lang w:val="en-US" w:eastAsia="zh-CN"/>
        </w:rPr>
      </w:pPr>
      <w:r>
        <w:rPr>
          <w:b/>
          <w:bCs/>
          <w:sz w:val="44"/>
          <w:szCs w:val="44"/>
        </w:rPr>
        <w:t>Regulations of Jilin Province on Protection of Ecological Environment</w:t>
      </w:r>
      <w:r>
        <w:rPr>
          <w:rFonts w:hint="eastAsia" w:eastAsia="宋体"/>
          <w:b/>
          <w:bCs/>
          <w:sz w:val="44"/>
          <w:szCs w:val="44"/>
          <w:lang w:val="en-US" w:eastAsia="zh-CN"/>
        </w:rPr>
        <w:t>(2020</w:t>
      </w:r>
      <w:bookmarkStart w:id="0" w:name="_GoBack"/>
      <w:bookmarkEnd w:id="0"/>
      <w:r>
        <w:rPr>
          <w:rFonts w:hint="eastAsia" w:eastAsia="宋体"/>
          <w:b/>
          <w:bCs/>
          <w:sz w:val="44"/>
          <w:szCs w:val="44"/>
          <w:lang w:val="en-US" w:eastAsia="zh-CN"/>
        </w:rPr>
        <w:t>)</w:t>
      </w:r>
    </w:p>
    <w:p w14:paraId="09616A8C">
      <w:pPr>
        <w:jc w:val="both"/>
        <w:rPr>
          <w:sz w:val="44"/>
          <w:szCs w:val="44"/>
        </w:rPr>
      </w:pPr>
    </w:p>
    <w:p w14:paraId="51DE5210">
      <w:pPr>
        <w:ind w:firstLine="420" w:firstLineChars="200"/>
        <w:jc w:val="center"/>
        <w:rPr>
          <w:sz w:val="21"/>
          <w:szCs w:val="21"/>
        </w:rPr>
      </w:pPr>
      <w:r>
        <w:rPr>
          <w:sz w:val="21"/>
          <w:szCs w:val="21"/>
        </w:rPr>
        <w:t>(Adopted at the 25th Session of the Standing Committee of the 13th National People's Congress of Jilin Province on November 27, 2020)</w:t>
      </w:r>
    </w:p>
    <w:p w14:paraId="713E6665">
      <w:pPr>
        <w:jc w:val="both"/>
        <w:rPr>
          <w:sz w:val="21"/>
          <w:szCs w:val="21"/>
        </w:rPr>
      </w:pPr>
    </w:p>
    <w:p w14:paraId="5DF3ACE3">
      <w:pPr>
        <w:jc w:val="both"/>
        <w:rPr>
          <w:sz w:val="24"/>
          <w:szCs w:val="24"/>
        </w:rPr>
      </w:pPr>
    </w:p>
    <w:p w14:paraId="0E4B40CF">
      <w:pPr>
        <w:jc w:val="center"/>
        <w:rPr>
          <w:b/>
          <w:bCs/>
          <w:sz w:val="32"/>
          <w:szCs w:val="32"/>
        </w:rPr>
      </w:pPr>
      <w:r>
        <w:rPr>
          <w:b/>
          <w:bCs/>
          <w:sz w:val="32"/>
          <w:szCs w:val="32"/>
        </w:rPr>
        <w:t xml:space="preserve">Chapter I </w:t>
      </w:r>
      <w:r>
        <w:rPr>
          <w:rFonts w:hint="eastAsia" w:eastAsia="宋体"/>
          <w:b/>
          <w:bCs/>
          <w:sz w:val="32"/>
          <w:szCs w:val="32"/>
          <w:lang w:eastAsia="zh-CN"/>
        </w:rPr>
        <w:t xml:space="preserve"> </w:t>
      </w:r>
      <w:r>
        <w:rPr>
          <w:b/>
          <w:bCs/>
          <w:sz w:val="32"/>
          <w:szCs w:val="32"/>
        </w:rPr>
        <w:t>General Provisions</w:t>
      </w:r>
    </w:p>
    <w:p w14:paraId="14450AC3">
      <w:pPr>
        <w:jc w:val="both"/>
        <w:rPr>
          <w:sz w:val="24"/>
          <w:szCs w:val="24"/>
        </w:rPr>
      </w:pPr>
    </w:p>
    <w:p w14:paraId="251E25B5">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b/>
          <w:color w:val="000000" w:themeColor="text1"/>
          <w:sz w:val="24"/>
          <w:szCs w:val="24"/>
          <w14:textFill>
            <w14:solidFill>
              <w14:schemeClr w14:val="tx1"/>
            </w14:solidFill>
          </w14:textFill>
        </w:rPr>
        <w:t>Article 1.</w:t>
      </w:r>
      <w:r>
        <w:rPr>
          <w:sz w:val="24"/>
          <w:szCs w:val="24"/>
        </w:rPr>
        <w:t xml:space="preserve"> These Regulations are formulated for the purposes of protecting and improving the ecological environment, preventing pollution and other public hazards, safeguarding the safety of the ecological environment, safeguarding public health, meeting the growing needs of the people for a beautiful ecological environment, promoting the construction of ecological civilization and promoting sustainable economic and social development, in accordance with the Environmental Protection Law of the People's Republic of China, the relevant laws and regulations, and in the light of the actual circumstances in this Province.</w:t>
      </w:r>
    </w:p>
    <w:p w14:paraId="01919DCA">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b/>
          <w:color w:val="000000" w:themeColor="text1"/>
          <w:sz w:val="24"/>
          <w:szCs w:val="24"/>
          <w14:textFill>
            <w14:solidFill>
              <w14:schemeClr w14:val="tx1"/>
            </w14:solidFill>
          </w14:textFill>
        </w:rPr>
        <w:t>Article 2.</w:t>
      </w:r>
      <w:r>
        <w:rPr>
          <w:sz w:val="24"/>
          <w:szCs w:val="24"/>
        </w:rPr>
        <w:t xml:space="preserve"> These Regulations shall apply to the protection of ecological environment as well as the supervision and administration activities within the administrative areas of the Province.</w:t>
      </w:r>
    </w:p>
    <w:p w14:paraId="32300B57">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b/>
          <w:color w:val="000000" w:themeColor="text1"/>
          <w:sz w:val="24"/>
          <w:szCs w:val="24"/>
          <w14:textFill>
            <w14:solidFill>
              <w14:schemeClr w14:val="tx1"/>
            </w14:solidFill>
          </w14:textFill>
        </w:rPr>
        <w:t>Article 3.</w:t>
      </w:r>
      <w:r>
        <w:rPr>
          <w:sz w:val="24"/>
          <w:szCs w:val="24"/>
        </w:rPr>
        <w:t xml:space="preserve"> The concept of green development, harmony and symbiosis between man and nature shall be insisted. The guideline of giving priority to conservation, protection and natural recovery shall be implemented. The principles of prevention, overall planning, spatial control, systematic governance, common governance of the whole people, and responsibility for damage shall be followed.</w:t>
      </w:r>
    </w:p>
    <w:p w14:paraId="3C362260">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b/>
          <w:color w:val="000000" w:themeColor="text1"/>
          <w:sz w:val="24"/>
          <w:szCs w:val="24"/>
          <w14:textFill>
            <w14:solidFill>
              <w14:schemeClr w14:val="tx1"/>
            </w14:solidFill>
          </w14:textFill>
        </w:rPr>
        <w:t>Article 4.</w:t>
      </w:r>
      <w:r>
        <w:rPr>
          <w:sz w:val="24"/>
          <w:szCs w:val="24"/>
        </w:rPr>
        <w:t xml:space="preserve"> The people's governments at the county level and the upwards shall incorporate the protection of ecological environment into their national economic and social development plans; carry out scientific and democratic decision-making on major policies and measures involving the ecological environment; fulfill the procedures such as public participation, expert argumentation, risk assessment, fair competition examination, legality examination and collective discussion and decision-making in accordance with the law; clarify the responsibilities of various subjects to improve the system of responsibility for the protection of ecological environment.</w:t>
      </w:r>
    </w:p>
    <w:p w14:paraId="4AF1CE20">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b/>
          <w:color w:val="000000" w:themeColor="text1"/>
          <w:sz w:val="24"/>
          <w:szCs w:val="24"/>
          <w14:textFill>
            <w14:solidFill>
              <w14:schemeClr w14:val="tx1"/>
            </w14:solidFill>
          </w14:textFill>
        </w:rPr>
        <w:t>Article 5.</w:t>
      </w:r>
      <w:r>
        <w:rPr>
          <w:sz w:val="24"/>
          <w:szCs w:val="24"/>
        </w:rPr>
        <w:t xml:space="preserve"> All entities and individuals shall have the obligation to protect the ecological environment.</w:t>
      </w:r>
    </w:p>
    <w:p w14:paraId="62F6B63F">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sz w:val="24"/>
          <w:szCs w:val="24"/>
        </w:rPr>
        <w:t>The people's governments at all levels shall be responsible for the quality of the ecological environment in their respective administrative areas.</w:t>
      </w:r>
    </w:p>
    <w:p w14:paraId="0C211C83">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sz w:val="24"/>
          <w:szCs w:val="24"/>
        </w:rPr>
        <w:t>The people's governments of townships (towns) and sub-district offices shall carry out the relevant duties of ecological environment protection, and determine the institutions and personnel responsible for ecological environment protection.</w:t>
      </w:r>
    </w:p>
    <w:p w14:paraId="00D1629B">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sz w:val="24"/>
          <w:szCs w:val="24"/>
        </w:rPr>
        <w:t>The village (residential) committees shall, in accordance with laws, regulations and relevant provisions, supervise and guide the villagers (residents) to protect and improve the ecological environment, and assist the people's governments at all levels and their relevant departments or local offices to do a good job in the protection of ecological environment.</w:t>
      </w:r>
    </w:p>
    <w:p w14:paraId="2F7AEE2D">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sz w:val="24"/>
          <w:szCs w:val="24"/>
        </w:rPr>
        <w:t>Enterprises, institutions and other production and business operators shall prevent and reduce environmental pollution and ecological damage, and shall be liable for the damage caused in accordance with law.</w:t>
      </w:r>
    </w:p>
    <w:p w14:paraId="28C64690">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b/>
          <w:color w:val="000000" w:themeColor="text1"/>
          <w:sz w:val="24"/>
          <w:szCs w:val="24"/>
          <w14:textFill>
            <w14:solidFill>
              <w14:schemeClr w14:val="tx1"/>
            </w14:solidFill>
          </w14:textFill>
        </w:rPr>
        <w:t>Article 6.</w:t>
      </w:r>
      <w:r>
        <w:rPr>
          <w:sz w:val="24"/>
          <w:szCs w:val="24"/>
        </w:rPr>
        <w:t xml:space="preserve"> The administrative departments for ecological environment shall exercise unified supervision and administration over the protection of ecological environment in their respective administrative regions.</w:t>
      </w:r>
    </w:p>
    <w:p w14:paraId="5AA06939">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sz w:val="24"/>
          <w:szCs w:val="24"/>
        </w:rPr>
        <w:t>Other relevant departments of the people's governments at the county level and upwards shall, in accordance with relevant laws and regulations, exercise supervision and administration over the protection of ecological environment within the scope of their respective duties.</w:t>
      </w:r>
    </w:p>
    <w:p w14:paraId="17CF499A">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sz w:val="24"/>
          <w:szCs w:val="24"/>
        </w:rPr>
        <w:t>The relevant management agencies of the natural reserves shall supervise and manage the protection of ecological environment within the scope of their duties.</w:t>
      </w:r>
    </w:p>
    <w:p w14:paraId="695978EB">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b/>
          <w:color w:val="000000" w:themeColor="text1"/>
          <w:sz w:val="24"/>
          <w:szCs w:val="24"/>
          <w14:textFill>
            <w14:solidFill>
              <w14:schemeClr w14:val="tx1"/>
            </w14:solidFill>
          </w14:textFill>
        </w:rPr>
        <w:t>Article 7.</w:t>
      </w:r>
      <w:r>
        <w:rPr>
          <w:sz w:val="24"/>
          <w:szCs w:val="24"/>
        </w:rPr>
        <w:t xml:space="preserve"> The people's governments at the county level and upwards shall implement the requirements of the State's green cycle and low-carbon development, and establish financial investment and diversified investment and financing mechanisms for ecological environment protection commensurate with the level of economic and social development. </w:t>
      </w:r>
    </w:p>
    <w:p w14:paraId="63F7C008">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sz w:val="24"/>
          <w:szCs w:val="24"/>
        </w:rPr>
        <w:t>The construction of public infrastructure for ecological environmental protection shall be strengthened to encourage  and support the development, promotion and application of ecological environmental protection technology.</w:t>
      </w:r>
    </w:p>
    <w:p w14:paraId="236825A9">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b/>
          <w:color w:val="000000" w:themeColor="text1"/>
          <w:sz w:val="24"/>
          <w:szCs w:val="24"/>
          <w14:textFill>
            <w14:solidFill>
              <w14:schemeClr w14:val="tx1"/>
            </w14:solidFill>
          </w14:textFill>
        </w:rPr>
        <w:t>Article 8.</w:t>
      </w:r>
      <w:r>
        <w:rPr>
          <w:sz w:val="24"/>
          <w:szCs w:val="24"/>
        </w:rPr>
        <w:t xml:space="preserve"> The people's governments at various levels and their relevant departments shall strengthen propaganda and education on ecological environment protection, popularize knowledge of ecological environment protection, advocate green production and life style, and organize and mobilize all kinds of social organizations and citizens to actively participate in the construction of ecological civilization.</w:t>
      </w:r>
    </w:p>
    <w:p w14:paraId="710AC914">
      <w:pPr>
        <w:keepNext w:val="0"/>
        <w:keepLines w:val="0"/>
        <w:pageBreakBefore w:val="0"/>
        <w:widowControl w:val="0"/>
        <w:kinsoku/>
        <w:wordWrap/>
        <w:overflowPunct/>
        <w:topLinePunct w:val="0"/>
        <w:autoSpaceDE w:val="0"/>
        <w:autoSpaceDN w:val="0"/>
        <w:bidi w:val="0"/>
        <w:adjustRightInd/>
        <w:snapToGrid/>
        <w:ind w:firstLine="480" w:firstLineChars="200"/>
        <w:jc w:val="both"/>
        <w:textAlignment w:val="auto"/>
        <w:rPr>
          <w:sz w:val="24"/>
          <w:szCs w:val="24"/>
        </w:rPr>
      </w:pPr>
      <w:r>
        <w:rPr>
          <w:b/>
          <w:color w:val="000000" w:themeColor="text1"/>
          <w:sz w:val="24"/>
          <w:szCs w:val="24"/>
          <w14:textFill>
            <w14:solidFill>
              <w14:schemeClr w14:val="tx1"/>
            </w14:solidFill>
          </w14:textFill>
        </w:rPr>
        <w:t>Article 9.</w:t>
      </w:r>
      <w:r>
        <w:rPr>
          <w:sz w:val="24"/>
          <w:szCs w:val="24"/>
        </w:rPr>
        <w:t xml:space="preserve"> The people's governments at the county level and upwards shall commend and reward entities and individuals that have made remarkable achievements in the work of ecological environment protection in accordance with the relevant provisions of the State and Province.</w:t>
      </w:r>
    </w:p>
    <w:p w14:paraId="1220D63A">
      <w:pPr>
        <w:jc w:val="both"/>
        <w:rPr>
          <w:sz w:val="24"/>
          <w:szCs w:val="24"/>
        </w:rPr>
      </w:pPr>
    </w:p>
    <w:p w14:paraId="0DD20267">
      <w:pPr>
        <w:jc w:val="both"/>
        <w:rPr>
          <w:sz w:val="24"/>
          <w:szCs w:val="24"/>
        </w:rPr>
      </w:pPr>
    </w:p>
    <w:p w14:paraId="50EA6DCE">
      <w:pPr>
        <w:jc w:val="center"/>
        <w:rPr>
          <w:b/>
          <w:bCs/>
          <w:sz w:val="32"/>
          <w:szCs w:val="32"/>
        </w:rPr>
      </w:pPr>
      <w:r>
        <w:rPr>
          <w:b/>
          <w:bCs/>
          <w:sz w:val="32"/>
          <w:szCs w:val="32"/>
        </w:rPr>
        <w:t>Chapter II  Space Control</w:t>
      </w:r>
    </w:p>
    <w:p w14:paraId="01EA8945">
      <w:pPr>
        <w:jc w:val="center"/>
        <w:rPr>
          <w:b/>
          <w:bCs/>
          <w:sz w:val="32"/>
          <w:szCs w:val="32"/>
        </w:rPr>
      </w:pPr>
    </w:p>
    <w:p w14:paraId="06C61506">
      <w:pPr>
        <w:ind w:firstLine="480" w:firstLineChars="200"/>
        <w:jc w:val="both"/>
        <w:rPr>
          <w:sz w:val="24"/>
          <w:szCs w:val="24"/>
        </w:rPr>
      </w:pPr>
      <w:r>
        <w:rPr>
          <w:b/>
          <w:color w:val="000000" w:themeColor="text1"/>
          <w:sz w:val="24"/>
          <w:szCs w:val="24"/>
          <w14:textFill>
            <w14:solidFill>
              <w14:schemeClr w14:val="tx1"/>
            </w14:solidFill>
          </w14:textFill>
        </w:rPr>
        <w:t>Article 10.</w:t>
      </w:r>
      <w:r>
        <w:rPr>
          <w:sz w:val="24"/>
          <w:szCs w:val="24"/>
        </w:rPr>
        <w:t xml:space="preserve"> The people’s government of the Province shall construct an ecological security barrier based on the eastern forest area, the central black soil area, the western grassland wet area  as well as the water system of Songhua River, Liaohe River, Tumen River, Yalu River and Suifen River, supported by the natural reserves system.</w:t>
      </w:r>
    </w:p>
    <w:p w14:paraId="504C2748">
      <w:pPr>
        <w:ind w:firstLine="480" w:firstLineChars="200"/>
        <w:jc w:val="both"/>
        <w:rPr>
          <w:sz w:val="24"/>
          <w:szCs w:val="24"/>
        </w:rPr>
      </w:pPr>
      <w:r>
        <w:rPr>
          <w:b/>
          <w:color w:val="000000" w:themeColor="text1"/>
          <w:sz w:val="24"/>
          <w:szCs w:val="24"/>
          <w14:textFill>
            <w14:solidFill>
              <w14:schemeClr w14:val="tx1"/>
            </w14:solidFill>
          </w14:textFill>
        </w:rPr>
        <w:t>Article 11.</w:t>
      </w:r>
      <w:r>
        <w:rPr>
          <w:sz w:val="24"/>
          <w:szCs w:val="24"/>
        </w:rPr>
        <w:t xml:space="preserve"> The people's governments at various levels shall organize and formulate land and space planning, and, integrating population distribution, economic distribution, land use, ecological environment protection, rural revitalization and other factors, optimize the structure and layout  of land and space, so as to enhance the quality and efficiency of land and space development and protection.</w:t>
      </w:r>
    </w:p>
    <w:p w14:paraId="73CE4FE8">
      <w:pPr>
        <w:ind w:firstLine="480" w:firstLineChars="200"/>
        <w:jc w:val="both"/>
        <w:rPr>
          <w:sz w:val="24"/>
          <w:szCs w:val="24"/>
        </w:rPr>
      </w:pPr>
      <w:r>
        <w:rPr>
          <w:sz w:val="24"/>
          <w:szCs w:val="24"/>
        </w:rPr>
        <w:t>The people's governments at the county level and upwards shall coordinate all kinds of special plans involving space utilization, implement the management of catalogue lists, strengthen the link between planning for the unification of all plans.</w:t>
      </w:r>
    </w:p>
    <w:p w14:paraId="12F8F353">
      <w:pPr>
        <w:ind w:firstLine="480" w:firstLineChars="200"/>
        <w:jc w:val="both"/>
        <w:rPr>
          <w:sz w:val="24"/>
          <w:szCs w:val="24"/>
        </w:rPr>
      </w:pPr>
      <w:r>
        <w:rPr>
          <w:b/>
          <w:color w:val="000000" w:themeColor="text1"/>
          <w:sz w:val="24"/>
          <w:szCs w:val="24"/>
          <w14:textFill>
            <w14:solidFill>
              <w14:schemeClr w14:val="tx1"/>
            </w14:solidFill>
          </w14:textFill>
        </w:rPr>
        <w:t>Article 12.</w:t>
      </w:r>
      <w:r>
        <w:rPr>
          <w:sz w:val="24"/>
          <w:szCs w:val="24"/>
        </w:rPr>
        <w:t xml:space="preserve"> The people's governments at various levels shall strictly implement the requirements binding upon land and space planning, and implement a unified system of land and space use control.</w:t>
      </w:r>
    </w:p>
    <w:p w14:paraId="4FF37C51">
      <w:pPr>
        <w:ind w:firstLine="480" w:firstLineChars="200"/>
        <w:jc w:val="both"/>
        <w:rPr>
          <w:sz w:val="24"/>
          <w:szCs w:val="24"/>
        </w:rPr>
      </w:pPr>
      <w:r>
        <w:rPr>
          <w:sz w:val="24"/>
          <w:szCs w:val="24"/>
        </w:rPr>
        <w:t>In accordance with law, all kinds of development activities that do not meet the control requirements and that arbitrarily alter the land and space use shall be prohibited.</w:t>
      </w:r>
    </w:p>
    <w:p w14:paraId="0C71E4CE">
      <w:pPr>
        <w:ind w:firstLine="480" w:firstLineChars="200"/>
        <w:jc w:val="both"/>
        <w:rPr>
          <w:sz w:val="24"/>
          <w:szCs w:val="24"/>
        </w:rPr>
      </w:pPr>
      <w:r>
        <w:rPr>
          <w:b/>
          <w:color w:val="000000" w:themeColor="text1"/>
          <w:sz w:val="24"/>
          <w:szCs w:val="24"/>
          <w14:textFill>
            <w14:solidFill>
              <w14:schemeClr w14:val="tx1"/>
            </w14:solidFill>
          </w14:textFill>
        </w:rPr>
        <w:t>Article 13.</w:t>
      </w:r>
      <w:r>
        <w:rPr>
          <w:sz w:val="24"/>
          <w:szCs w:val="24"/>
        </w:rPr>
        <w:t xml:space="preserve"> The people's governments at the county level and upwards shall scientifically delimit and implement the red line for  ecological protection, permanent basic farmland, and the boundary for the development of towns, so as to rationally distribute the ecological space, production space and living space.</w:t>
      </w:r>
    </w:p>
    <w:p w14:paraId="28FBB9B3">
      <w:pPr>
        <w:ind w:firstLine="480" w:firstLineChars="200"/>
        <w:jc w:val="both"/>
        <w:rPr>
          <w:sz w:val="24"/>
          <w:szCs w:val="24"/>
        </w:rPr>
      </w:pPr>
      <w:r>
        <w:rPr>
          <w:b/>
          <w:color w:val="000000" w:themeColor="text1"/>
          <w:sz w:val="24"/>
          <w:szCs w:val="24"/>
          <w14:textFill>
            <w14:solidFill>
              <w14:schemeClr w14:val="tx1"/>
            </w14:solidFill>
          </w14:textFill>
        </w:rPr>
        <w:t>Article 14.</w:t>
      </w:r>
      <w:r>
        <w:rPr>
          <w:sz w:val="24"/>
          <w:szCs w:val="24"/>
        </w:rPr>
        <w:t xml:space="preserve"> The people’s government of the Province shall determine the environmental quality objectives by regions, watersheds and stages, draw the bottom line of environmental quality, and implement the requirements of total pollutant discharge control, environmental access and environmental quality bottom line control.</w:t>
      </w:r>
    </w:p>
    <w:p w14:paraId="598DC19F">
      <w:pPr>
        <w:ind w:firstLine="480" w:firstLineChars="200"/>
        <w:jc w:val="both"/>
        <w:rPr>
          <w:sz w:val="24"/>
          <w:szCs w:val="24"/>
        </w:rPr>
      </w:pPr>
      <w:r>
        <w:rPr>
          <w:b/>
          <w:color w:val="000000" w:themeColor="text1"/>
          <w:sz w:val="24"/>
          <w:szCs w:val="24"/>
          <w14:textFill>
            <w14:solidFill>
              <w14:schemeClr w14:val="tx1"/>
            </w14:solidFill>
          </w14:textFill>
        </w:rPr>
        <w:t>Article 15.</w:t>
      </w:r>
      <w:r>
        <w:rPr>
          <w:sz w:val="24"/>
          <w:szCs w:val="24"/>
        </w:rPr>
        <w:t xml:space="preserve"> The people's government of the Province shall determine the total amount, intensity and efficiency of the exploitation and utilization of resources in different regions and stages, determine the upper limit for resources utilization, and implement the control requirements.</w:t>
      </w:r>
    </w:p>
    <w:p w14:paraId="01447258">
      <w:pPr>
        <w:ind w:firstLine="480" w:firstLineChars="200"/>
        <w:jc w:val="both"/>
        <w:rPr>
          <w:sz w:val="24"/>
          <w:szCs w:val="24"/>
        </w:rPr>
      </w:pPr>
      <w:r>
        <w:rPr>
          <w:b/>
          <w:color w:val="000000" w:themeColor="text1"/>
          <w:sz w:val="24"/>
          <w:szCs w:val="24"/>
          <w14:textFill>
            <w14:solidFill>
              <w14:schemeClr w14:val="tx1"/>
            </w14:solidFill>
          </w14:textFill>
        </w:rPr>
        <w:t>Article 16.</w:t>
      </w:r>
      <w:r>
        <w:rPr>
          <w:sz w:val="24"/>
          <w:szCs w:val="24"/>
        </w:rPr>
        <w:t xml:space="preserve"> The people’s government of the Province shall, in accordance with the requirements of the red line for ecological protection, the bottom line of environmental quality and the upper limit of resources utilization, formulate a list of access to the ecological environment.</w:t>
      </w:r>
    </w:p>
    <w:p w14:paraId="64EDC436">
      <w:pPr>
        <w:ind w:firstLine="480" w:firstLineChars="200"/>
        <w:jc w:val="both"/>
        <w:rPr>
          <w:sz w:val="24"/>
          <w:szCs w:val="24"/>
        </w:rPr>
      </w:pPr>
      <w:r>
        <w:rPr>
          <w:b/>
          <w:color w:val="000000" w:themeColor="text1"/>
          <w:sz w:val="24"/>
          <w:szCs w:val="24"/>
          <w14:textFill>
            <w14:solidFill>
              <w14:schemeClr w14:val="tx1"/>
            </w14:solidFill>
          </w14:textFill>
        </w:rPr>
        <w:t>Article 17.</w:t>
      </w:r>
      <w:r>
        <w:rPr>
          <w:sz w:val="24"/>
          <w:szCs w:val="24"/>
        </w:rPr>
        <w:t xml:space="preserve"> The people's governments at the county level and upwards shall, in accordance with the functional orientation of land, space and ecological environment, optimize the industrial distribution, industrial scale and industrial structure by regions and watersheds, scientifically plan infrastructure and basic industries, rationally build industrial agglomeration areas, and encourage the cultivation and development of ecological industries and green service industries.</w:t>
      </w:r>
    </w:p>
    <w:p w14:paraId="122AC725">
      <w:pPr>
        <w:ind w:firstLine="480" w:firstLineChars="200"/>
        <w:jc w:val="both"/>
        <w:rPr>
          <w:sz w:val="24"/>
          <w:szCs w:val="24"/>
        </w:rPr>
      </w:pPr>
      <w:r>
        <w:rPr>
          <w:b/>
          <w:color w:val="000000" w:themeColor="text1"/>
          <w:sz w:val="24"/>
          <w:szCs w:val="24"/>
          <w14:textFill>
            <w14:solidFill>
              <w14:schemeClr w14:val="tx1"/>
            </w14:solidFill>
          </w14:textFill>
        </w:rPr>
        <w:t>Article 18.</w:t>
      </w:r>
      <w:r>
        <w:rPr>
          <w:sz w:val="24"/>
          <w:szCs w:val="24"/>
        </w:rPr>
        <w:t xml:space="preserve"> The people's governments at the county level and upwards shall strictly implement relevant industrial policies, promote the clean transformation of traditional industries, speed up the elimination of backward production capacity, prohibit the approval of new production capacity projects in industries with serious overcapacity, and prohibit the transfer of backward production capacity.</w:t>
      </w:r>
    </w:p>
    <w:p w14:paraId="06D3F10B">
      <w:pPr>
        <w:ind w:firstLine="480" w:firstLineChars="200"/>
        <w:jc w:val="both"/>
        <w:rPr>
          <w:sz w:val="24"/>
          <w:szCs w:val="24"/>
        </w:rPr>
      </w:pPr>
      <w:r>
        <w:rPr>
          <w:b/>
          <w:color w:val="000000" w:themeColor="text1"/>
          <w:sz w:val="24"/>
          <w:szCs w:val="24"/>
          <w14:textFill>
            <w14:solidFill>
              <w14:schemeClr w14:val="tx1"/>
            </w14:solidFill>
          </w14:textFill>
        </w:rPr>
        <w:t>Article 19.</w:t>
      </w:r>
      <w:r>
        <w:rPr>
          <w:sz w:val="24"/>
          <w:szCs w:val="24"/>
        </w:rPr>
        <w:t xml:space="preserve"> The people's governments at the county level and upwards shall promote the green development of traditional energy sources and clean low-carbon utilization, optimize the use of coal, develop and popularize the use of clean and renewable energy sources, and increase the proportion of non-fossil energy sources in the energy consumption structure.</w:t>
      </w:r>
    </w:p>
    <w:p w14:paraId="42C40F6D">
      <w:pPr>
        <w:ind w:firstLine="480" w:firstLineChars="200"/>
        <w:jc w:val="both"/>
        <w:rPr>
          <w:sz w:val="24"/>
          <w:szCs w:val="24"/>
        </w:rPr>
      </w:pPr>
      <w:r>
        <w:rPr>
          <w:b/>
          <w:color w:val="000000" w:themeColor="text1"/>
          <w:sz w:val="24"/>
          <w:szCs w:val="24"/>
          <w14:textFill>
            <w14:solidFill>
              <w14:schemeClr w14:val="tx1"/>
            </w14:solidFill>
          </w14:textFill>
        </w:rPr>
        <w:t>Article 20.</w:t>
      </w:r>
      <w:r>
        <w:rPr>
          <w:sz w:val="24"/>
          <w:szCs w:val="24"/>
        </w:rPr>
        <w:t xml:space="preserve"> The people's governments at the county level and upwards shall give priority to the development of public transport, encourage the production, sale and use of new energy motor vehicles, improve the supporting facilities for the use of new energy motor vehicles, and increase the proportion of new energy vehicles in urban buses and taxis. Old motor vehicles shall be scrapped in accordance with the relevant regulations of the State and Province.</w:t>
      </w:r>
    </w:p>
    <w:p w14:paraId="5B4CB5C6">
      <w:pPr>
        <w:ind w:firstLine="480" w:firstLineChars="200"/>
        <w:jc w:val="both"/>
        <w:rPr>
          <w:sz w:val="24"/>
          <w:szCs w:val="24"/>
        </w:rPr>
      </w:pPr>
      <w:r>
        <w:rPr>
          <w:b/>
          <w:color w:val="000000" w:themeColor="text1"/>
          <w:sz w:val="24"/>
          <w:szCs w:val="24"/>
          <w14:textFill>
            <w14:solidFill>
              <w14:schemeClr w14:val="tx1"/>
            </w14:solidFill>
          </w14:textFill>
        </w:rPr>
        <w:t>Article 21.</w:t>
      </w:r>
      <w:r>
        <w:rPr>
          <w:sz w:val="24"/>
          <w:szCs w:val="24"/>
        </w:rPr>
        <w:t xml:space="preserve"> The people's governments at the county level and upwards shall develop green energy-saving buildings and promote the application of renewable energy in buildings in terms of standards, design and construction.</w:t>
      </w:r>
    </w:p>
    <w:p w14:paraId="1877A99D">
      <w:pPr>
        <w:ind w:firstLine="480" w:firstLineChars="200"/>
        <w:jc w:val="both"/>
        <w:rPr>
          <w:sz w:val="24"/>
          <w:szCs w:val="24"/>
        </w:rPr>
      </w:pPr>
      <w:r>
        <w:rPr>
          <w:b/>
          <w:color w:val="000000" w:themeColor="text1"/>
          <w:sz w:val="24"/>
          <w:szCs w:val="24"/>
          <w14:textFill>
            <w14:solidFill>
              <w14:schemeClr w14:val="tx1"/>
            </w14:solidFill>
          </w14:textFill>
        </w:rPr>
        <w:t>Article 22.</w:t>
      </w:r>
      <w:r>
        <w:rPr>
          <w:sz w:val="24"/>
          <w:szCs w:val="24"/>
        </w:rPr>
        <w:t xml:space="preserve"> The people's governments at the county level and upwards shall speed up the transformation of agricultural development modes, develop water-saving agriculture, scientifically, rationally apply agricultural inputs such as pesticides and chemical fertilizers, and carry out comprehensive utilization of straw; adjust agricultural structure, and develop the organic agriculture and ecological agriculture.</w:t>
      </w:r>
    </w:p>
    <w:p w14:paraId="1068EDBA">
      <w:pPr>
        <w:ind w:firstLine="480" w:firstLineChars="200"/>
        <w:jc w:val="both"/>
        <w:rPr>
          <w:sz w:val="24"/>
          <w:szCs w:val="24"/>
        </w:rPr>
      </w:pPr>
      <w:r>
        <w:rPr>
          <w:sz w:val="24"/>
          <w:szCs w:val="24"/>
        </w:rPr>
        <w:t>Livestock and poultry breeding prohibited areas shall be designated in accordance with relevant regulations. The harmless treatment and comprehensive utilization of livestock and poultry manure shall be strengthened.</w:t>
      </w:r>
    </w:p>
    <w:p w14:paraId="62FCD8D5">
      <w:pPr>
        <w:ind w:firstLine="480" w:firstLineChars="200"/>
        <w:jc w:val="both"/>
        <w:rPr>
          <w:sz w:val="24"/>
          <w:szCs w:val="24"/>
        </w:rPr>
      </w:pPr>
      <w:r>
        <w:rPr>
          <w:b/>
          <w:color w:val="000000" w:themeColor="text1"/>
          <w:sz w:val="24"/>
          <w:szCs w:val="24"/>
          <w14:textFill>
            <w14:solidFill>
              <w14:schemeClr w14:val="tx1"/>
            </w14:solidFill>
          </w14:textFill>
        </w:rPr>
        <w:t>Article 23.</w:t>
      </w:r>
      <w:r>
        <w:rPr>
          <w:sz w:val="24"/>
          <w:szCs w:val="24"/>
        </w:rPr>
        <w:t xml:space="preserve"> The people's governments at the county level and upwards shall encourage the development of energy conservation and environmental protection industries, such as green energy conservation, recycling of resources and environmental services.</w:t>
      </w:r>
    </w:p>
    <w:p w14:paraId="77C2FA1E">
      <w:pPr>
        <w:ind w:firstLine="480" w:firstLineChars="200"/>
        <w:jc w:val="both"/>
        <w:rPr>
          <w:sz w:val="24"/>
          <w:szCs w:val="24"/>
        </w:rPr>
      </w:pPr>
      <w:r>
        <w:rPr>
          <w:b/>
          <w:color w:val="000000" w:themeColor="text1"/>
          <w:sz w:val="24"/>
          <w:szCs w:val="24"/>
          <w14:textFill>
            <w14:solidFill>
              <w14:schemeClr w14:val="tx1"/>
            </w14:solidFill>
          </w14:textFill>
        </w:rPr>
        <w:t>Article 24.</w:t>
      </w:r>
      <w:r>
        <w:rPr>
          <w:sz w:val="24"/>
          <w:szCs w:val="24"/>
        </w:rPr>
        <w:t xml:space="preserve"> The people's governments at the county level and upwards and their relevant departments shall make overall plans for the construction of environmental infrastructure such as</w:t>
      </w:r>
      <w:r>
        <w:rPr>
          <w:rFonts w:hint="eastAsia" w:eastAsia="宋体"/>
          <w:sz w:val="24"/>
          <w:szCs w:val="24"/>
          <w:lang w:eastAsia="zh-CN"/>
        </w:rPr>
        <w:t xml:space="preserve"> </w:t>
      </w:r>
      <w:r>
        <w:rPr>
          <w:sz w:val="24"/>
          <w:szCs w:val="24"/>
        </w:rPr>
        <w:t>urban and rural sewage collection and treatment, solid waste collection and disposal, and supervise and guarantee their normal operation.</w:t>
      </w:r>
    </w:p>
    <w:p w14:paraId="1483B9AF">
      <w:pPr>
        <w:jc w:val="both"/>
        <w:rPr>
          <w:sz w:val="24"/>
          <w:szCs w:val="24"/>
        </w:rPr>
      </w:pPr>
    </w:p>
    <w:p w14:paraId="2432AF05">
      <w:pPr>
        <w:jc w:val="center"/>
        <w:rPr>
          <w:b/>
          <w:bCs/>
          <w:sz w:val="32"/>
          <w:szCs w:val="32"/>
        </w:rPr>
      </w:pPr>
      <w:r>
        <w:rPr>
          <w:b/>
          <w:bCs/>
          <w:sz w:val="32"/>
          <w:szCs w:val="32"/>
        </w:rPr>
        <w:t>Chapter III</w:t>
      </w:r>
      <w:r>
        <w:rPr>
          <w:rFonts w:hint="eastAsia" w:eastAsia="宋体"/>
          <w:b/>
          <w:bCs/>
          <w:sz w:val="32"/>
          <w:szCs w:val="32"/>
          <w:lang w:eastAsia="zh-CN"/>
        </w:rPr>
        <w:t xml:space="preserve"> </w:t>
      </w:r>
      <w:r>
        <w:rPr>
          <w:b/>
          <w:bCs/>
          <w:sz w:val="32"/>
          <w:szCs w:val="32"/>
        </w:rPr>
        <w:t xml:space="preserve"> Ecological Restoration</w:t>
      </w:r>
    </w:p>
    <w:p w14:paraId="0B5334BA">
      <w:pPr>
        <w:jc w:val="center"/>
        <w:rPr>
          <w:b/>
          <w:bCs/>
          <w:sz w:val="32"/>
          <w:szCs w:val="32"/>
        </w:rPr>
      </w:pPr>
    </w:p>
    <w:p w14:paraId="54190903">
      <w:pPr>
        <w:ind w:firstLine="480" w:firstLineChars="200"/>
        <w:jc w:val="both"/>
        <w:rPr>
          <w:sz w:val="24"/>
          <w:szCs w:val="24"/>
        </w:rPr>
      </w:pPr>
      <w:r>
        <w:rPr>
          <w:b/>
          <w:color w:val="000000" w:themeColor="text1"/>
          <w:sz w:val="24"/>
          <w:szCs w:val="24"/>
          <w14:textFill>
            <w14:solidFill>
              <w14:schemeClr w14:val="tx1"/>
            </w14:solidFill>
          </w14:textFill>
        </w:rPr>
        <w:t>Article 25.</w:t>
      </w:r>
      <w:r>
        <w:rPr>
          <w:sz w:val="24"/>
          <w:szCs w:val="24"/>
        </w:rPr>
        <w:t xml:space="preserve"> The people's governments at the county level and upwards shall strengthen the construction of natural reserves regime, implement compulsory protection on important ecosystems and species resources, and prevent the destruction of authenticity and integrity of natural ecology and natural cultural heritage by human factors.</w:t>
      </w:r>
    </w:p>
    <w:p w14:paraId="4EF9B671">
      <w:pPr>
        <w:ind w:firstLine="480" w:firstLineChars="200"/>
        <w:jc w:val="both"/>
        <w:rPr>
          <w:sz w:val="24"/>
          <w:szCs w:val="24"/>
        </w:rPr>
      </w:pPr>
      <w:r>
        <w:rPr>
          <w:b/>
          <w:color w:val="000000" w:themeColor="text1"/>
          <w:sz w:val="24"/>
          <w:szCs w:val="24"/>
          <w14:textFill>
            <w14:solidFill>
              <w14:schemeClr w14:val="tx1"/>
            </w14:solidFill>
          </w14:textFill>
        </w:rPr>
        <w:t>Article 26.</w:t>
      </w:r>
      <w:r>
        <w:rPr>
          <w:sz w:val="24"/>
          <w:szCs w:val="24"/>
        </w:rPr>
        <w:t xml:space="preserve"> The people's governments at the county level and upwards shall give priority to the conservation of natural resources, improve the structure of resource utilization, promote the classification and cascade utilization of energy, water resources and mineral resources by quality, so as to substantially reduce the intensity of resource consumption.</w:t>
      </w:r>
    </w:p>
    <w:p w14:paraId="4E01B323">
      <w:pPr>
        <w:ind w:firstLine="480" w:firstLineChars="200"/>
        <w:jc w:val="both"/>
        <w:rPr>
          <w:sz w:val="24"/>
          <w:szCs w:val="24"/>
        </w:rPr>
      </w:pPr>
      <w:r>
        <w:rPr>
          <w:sz w:val="24"/>
          <w:szCs w:val="24"/>
        </w:rPr>
        <w:t>The people's governments at the county level and upwards shall promote the restoration of ecological environment in the principle of giving priority to natural restoration in combination with artificial restoration.</w:t>
      </w:r>
    </w:p>
    <w:p w14:paraId="63882597">
      <w:pPr>
        <w:ind w:firstLine="480" w:firstLineChars="200"/>
        <w:jc w:val="both"/>
        <w:rPr>
          <w:sz w:val="24"/>
          <w:szCs w:val="24"/>
        </w:rPr>
      </w:pPr>
      <w:r>
        <w:rPr>
          <w:b/>
          <w:color w:val="000000" w:themeColor="text1"/>
          <w:sz w:val="24"/>
          <w:szCs w:val="24"/>
          <w14:textFill>
            <w14:solidFill>
              <w14:schemeClr w14:val="tx1"/>
            </w14:solidFill>
          </w14:textFill>
        </w:rPr>
        <w:t>Article 27.</w:t>
      </w:r>
      <w:r>
        <w:rPr>
          <w:sz w:val="24"/>
          <w:szCs w:val="24"/>
        </w:rPr>
        <w:t xml:space="preserve"> The people's governments at the county level and upwards shall legally develop and utilize water resources, implement the red line control indicators for total water use control, water efficiency control, and water function areas for limiting pollution, strictly manage and protect groundwater, coordinate the use of water for living, production and ecology, and safeguard the ecological foundation.</w:t>
      </w:r>
    </w:p>
    <w:p w14:paraId="434AABB0">
      <w:pPr>
        <w:ind w:firstLine="480" w:firstLineChars="200"/>
        <w:jc w:val="both"/>
        <w:rPr>
          <w:sz w:val="24"/>
          <w:szCs w:val="24"/>
        </w:rPr>
      </w:pPr>
      <w:r>
        <w:rPr>
          <w:sz w:val="24"/>
          <w:szCs w:val="24"/>
        </w:rPr>
        <w:t>The conservation and protection of key watersheds and drinking water sources shall be</w:t>
      </w:r>
      <w:r>
        <w:rPr>
          <w:rFonts w:hint="eastAsia" w:eastAsia="宋体"/>
          <w:sz w:val="24"/>
          <w:szCs w:val="24"/>
          <w:lang w:val="en-US" w:eastAsia="zh-CN"/>
        </w:rPr>
        <w:t xml:space="preserve"> </w:t>
      </w:r>
      <w:r>
        <w:rPr>
          <w:sz w:val="24"/>
          <w:szCs w:val="24"/>
        </w:rPr>
        <w:t>intensified to ensure the safety of drinking water sources.</w:t>
      </w:r>
    </w:p>
    <w:p w14:paraId="54B7DA9D">
      <w:pPr>
        <w:ind w:firstLine="480" w:firstLineChars="200"/>
        <w:jc w:val="both"/>
        <w:rPr>
          <w:sz w:val="24"/>
          <w:szCs w:val="24"/>
        </w:rPr>
      </w:pPr>
      <w:r>
        <w:rPr>
          <w:sz w:val="24"/>
          <w:szCs w:val="24"/>
        </w:rPr>
        <w:t>Farmlands shall be returned and restored to rivers, forest, grass and wetlands in accordance with the law, so as to strictly control soil and water loss, and speed up the restoration of ecosystem service functions.</w:t>
      </w:r>
    </w:p>
    <w:p w14:paraId="7624958F">
      <w:pPr>
        <w:ind w:firstLine="480" w:firstLineChars="200"/>
        <w:jc w:val="both"/>
        <w:rPr>
          <w:sz w:val="24"/>
          <w:szCs w:val="24"/>
        </w:rPr>
      </w:pPr>
      <w:r>
        <w:rPr>
          <w:sz w:val="24"/>
          <w:szCs w:val="24"/>
        </w:rPr>
        <w:t>The people's governments at the county level and upwards shall strictly control the water ecological space such as water shoreline, implement the requirements of planning shoreline zoning management, and strengthen shoreline protection and economize on intensive utilization.</w:t>
      </w:r>
    </w:p>
    <w:p w14:paraId="01BFA4C3">
      <w:pPr>
        <w:ind w:firstLine="480" w:firstLineChars="200"/>
        <w:jc w:val="both"/>
        <w:rPr>
          <w:sz w:val="24"/>
          <w:szCs w:val="24"/>
        </w:rPr>
      </w:pPr>
      <w:r>
        <w:rPr>
          <w:b/>
          <w:color w:val="000000" w:themeColor="text1"/>
          <w:sz w:val="24"/>
          <w:szCs w:val="24"/>
          <w14:textFill>
            <w14:solidFill>
              <w14:schemeClr w14:val="tx1"/>
            </w14:solidFill>
          </w14:textFill>
        </w:rPr>
        <w:t>Article 28.</w:t>
      </w:r>
      <w:r>
        <w:rPr>
          <w:sz w:val="24"/>
          <w:szCs w:val="24"/>
        </w:rPr>
        <w:t xml:space="preserve"> The people's governments at the county level and upwards shall, in accordance with law, strengthen the planning and control of land and space, market regulation, standard control and examination and supervision, economize on intensive use of land resources, and organize and carry out soil restoration.</w:t>
      </w:r>
    </w:p>
    <w:p w14:paraId="1A8CB25C">
      <w:pPr>
        <w:ind w:firstLine="480" w:firstLineChars="200"/>
        <w:jc w:val="both"/>
        <w:rPr>
          <w:sz w:val="24"/>
          <w:szCs w:val="24"/>
        </w:rPr>
      </w:pPr>
      <w:r>
        <w:rPr>
          <w:b/>
          <w:color w:val="000000" w:themeColor="text1"/>
          <w:sz w:val="24"/>
          <w:szCs w:val="24"/>
          <w14:textFill>
            <w14:solidFill>
              <w14:schemeClr w14:val="tx1"/>
            </w14:solidFill>
          </w14:textFill>
        </w:rPr>
        <w:t>Article 29.</w:t>
      </w:r>
      <w:r>
        <w:rPr>
          <w:sz w:val="24"/>
          <w:szCs w:val="24"/>
        </w:rPr>
        <w:t xml:space="preserve"> The people's governments at  the county level and upwards shall promote  the efficient utilization of mineral resources, and encourage the development of green mining industries; implement the mine geological environment protection and land reclamation projects to promote comprehensive management and ecological restoration of open-pit mines.</w:t>
      </w:r>
    </w:p>
    <w:p w14:paraId="63CB380C">
      <w:pPr>
        <w:ind w:firstLine="480" w:firstLineChars="200"/>
        <w:jc w:val="both"/>
        <w:rPr>
          <w:sz w:val="24"/>
          <w:szCs w:val="24"/>
        </w:rPr>
      </w:pPr>
      <w:r>
        <w:rPr>
          <w:b/>
          <w:color w:val="000000" w:themeColor="text1"/>
          <w:sz w:val="24"/>
          <w:szCs w:val="24"/>
          <w14:textFill>
            <w14:solidFill>
              <w14:schemeClr w14:val="tx1"/>
            </w14:solidFill>
          </w14:textFill>
        </w:rPr>
        <w:t>Article 30.</w:t>
      </w:r>
      <w:r>
        <w:rPr>
          <w:sz w:val="24"/>
          <w:szCs w:val="24"/>
        </w:rPr>
        <w:t xml:space="preserve"> The people's governments at the county level and upwards shall, in conjunction with the construction of the shelterbelt system, promote afforestation, forest closure and forest tending, strictly manage forest cutting as well as forest land requisition and occupation, so as to protect, cultivate and restore forest resources.</w:t>
      </w:r>
    </w:p>
    <w:p w14:paraId="33E01FBE">
      <w:pPr>
        <w:ind w:firstLine="480" w:firstLineChars="200"/>
        <w:jc w:val="both"/>
        <w:rPr>
          <w:sz w:val="24"/>
          <w:szCs w:val="24"/>
        </w:rPr>
      </w:pPr>
      <w:r>
        <w:rPr>
          <w:b/>
          <w:color w:val="000000" w:themeColor="text1"/>
          <w:sz w:val="24"/>
          <w:szCs w:val="24"/>
          <w14:textFill>
            <w14:solidFill>
              <w14:schemeClr w14:val="tx1"/>
            </w14:solidFill>
          </w14:textFill>
        </w:rPr>
        <w:t>Article 31.</w:t>
      </w:r>
      <w:r>
        <w:rPr>
          <w:sz w:val="24"/>
          <w:szCs w:val="24"/>
        </w:rPr>
        <w:t xml:space="preserve"> The people's governments at the county level and upwards shall strictly implement the system of forbidding grazing and the balance of grass and livestock, scientifically utilize grassland resources, develop ecological animal husbandry, strengthen the comprehensive management of degraded grasslands, and gradually restore the ecological service function of grasslands.</w:t>
      </w:r>
    </w:p>
    <w:p w14:paraId="771BAF85">
      <w:pPr>
        <w:ind w:firstLine="480" w:firstLineChars="200"/>
        <w:jc w:val="both"/>
        <w:rPr>
          <w:sz w:val="24"/>
          <w:szCs w:val="24"/>
        </w:rPr>
      </w:pPr>
      <w:r>
        <w:rPr>
          <w:sz w:val="24"/>
          <w:szCs w:val="24"/>
        </w:rPr>
        <w:t>The people's governments at the county level and upwards shall carry out comprehensive protection and hierarchical management on wetlands, implement wetland closure measures, and strengthen the protection and restoration of wetlands.</w:t>
      </w:r>
    </w:p>
    <w:p w14:paraId="1873599A">
      <w:pPr>
        <w:ind w:firstLine="480" w:firstLineChars="200"/>
        <w:jc w:val="both"/>
        <w:rPr>
          <w:sz w:val="24"/>
          <w:szCs w:val="24"/>
        </w:rPr>
      </w:pPr>
      <w:r>
        <w:rPr>
          <w:b/>
          <w:color w:val="000000" w:themeColor="text1"/>
          <w:sz w:val="24"/>
          <w:szCs w:val="24"/>
          <w14:textFill>
            <w14:solidFill>
              <w14:schemeClr w14:val="tx1"/>
            </w14:solidFill>
          </w14:textFill>
        </w:rPr>
        <w:t>Article 32.</w:t>
      </w:r>
      <w:r>
        <w:rPr>
          <w:sz w:val="24"/>
          <w:szCs w:val="24"/>
        </w:rPr>
        <w:t xml:space="preserve"> The people's governments at various levels shall take effective measures to strengthen the protection on wildlife, prevent the invasion of foreign harmful species, and prevent the destruction of biodiversity to ensure ecological security.</w:t>
      </w:r>
    </w:p>
    <w:p w14:paraId="1BCFCCA2">
      <w:pPr>
        <w:jc w:val="both"/>
        <w:rPr>
          <w:sz w:val="24"/>
          <w:szCs w:val="24"/>
        </w:rPr>
      </w:pPr>
    </w:p>
    <w:p w14:paraId="43D3F98A">
      <w:pPr>
        <w:jc w:val="center"/>
        <w:rPr>
          <w:b/>
          <w:bCs/>
          <w:sz w:val="32"/>
          <w:szCs w:val="32"/>
        </w:rPr>
      </w:pPr>
      <w:r>
        <w:rPr>
          <w:b/>
          <w:bCs/>
          <w:sz w:val="32"/>
          <w:szCs w:val="32"/>
        </w:rPr>
        <w:t xml:space="preserve">Chapter IV </w:t>
      </w:r>
      <w:r>
        <w:rPr>
          <w:rFonts w:hint="eastAsia" w:eastAsia="宋体"/>
          <w:b/>
          <w:bCs/>
          <w:sz w:val="32"/>
          <w:szCs w:val="32"/>
          <w:lang w:eastAsia="zh-CN"/>
        </w:rPr>
        <w:t xml:space="preserve"> </w:t>
      </w:r>
      <w:r>
        <w:rPr>
          <w:b/>
          <w:bCs/>
          <w:sz w:val="32"/>
          <w:szCs w:val="32"/>
        </w:rPr>
        <w:t>Pollution Prevention and Control</w:t>
      </w:r>
    </w:p>
    <w:p w14:paraId="3BFD6108">
      <w:pPr>
        <w:jc w:val="both"/>
        <w:rPr>
          <w:sz w:val="24"/>
          <w:szCs w:val="24"/>
        </w:rPr>
      </w:pPr>
    </w:p>
    <w:p w14:paraId="40E2E42C">
      <w:pPr>
        <w:ind w:firstLine="480" w:firstLineChars="200"/>
        <w:jc w:val="both"/>
        <w:rPr>
          <w:sz w:val="24"/>
          <w:szCs w:val="24"/>
        </w:rPr>
      </w:pPr>
      <w:r>
        <w:rPr>
          <w:b/>
          <w:color w:val="000000" w:themeColor="text1"/>
          <w:sz w:val="24"/>
          <w:szCs w:val="24"/>
          <w14:textFill>
            <w14:solidFill>
              <w14:schemeClr w14:val="tx1"/>
            </w14:solidFill>
          </w14:textFill>
        </w:rPr>
        <w:t>Article 33.</w:t>
      </w:r>
      <w:r>
        <w:rPr>
          <w:sz w:val="24"/>
          <w:szCs w:val="24"/>
        </w:rPr>
        <w:t xml:space="preserve"> Enterprises, institutions and other production and business operators that discharge pollutants shall take measures to prevent and control the pollution and harm to the environment caused by waste gas, waste water, waste residue, medical waste, dust, odor gases, greenhouse gases, radioactive substances as well as noise, vibration, light radiation, electromagnetic radiation, etc., in production, construction or other activities.</w:t>
      </w:r>
    </w:p>
    <w:p w14:paraId="2BEAB1A3">
      <w:pPr>
        <w:ind w:firstLine="480" w:firstLineChars="200"/>
        <w:jc w:val="both"/>
        <w:rPr>
          <w:sz w:val="24"/>
          <w:szCs w:val="24"/>
        </w:rPr>
      </w:pPr>
      <w:r>
        <w:rPr>
          <w:b/>
          <w:color w:val="000000" w:themeColor="text1"/>
          <w:sz w:val="24"/>
          <w:szCs w:val="24"/>
          <w14:textFill>
            <w14:solidFill>
              <w14:schemeClr w14:val="tx1"/>
            </w14:solidFill>
          </w14:textFill>
        </w:rPr>
        <w:t>Article 34.</w:t>
      </w:r>
      <w:r>
        <w:rPr>
          <w:sz w:val="24"/>
          <w:szCs w:val="24"/>
        </w:rPr>
        <w:t xml:space="preserve"> The principal person in charge of the key pollutant discharge entity shall be responsible for the protection of ecological environment in the entity, clarify the responsibilities of the relevant personnel, and perform the following duties:</w:t>
      </w:r>
    </w:p>
    <w:p w14:paraId="01039F71">
      <w:pPr>
        <w:ind w:firstLine="480" w:firstLineChars="200"/>
        <w:jc w:val="both"/>
        <w:rPr>
          <w:sz w:val="24"/>
          <w:szCs w:val="24"/>
        </w:rPr>
      </w:pPr>
      <w:r>
        <w:rPr>
          <w:rFonts w:hint="eastAsia" w:eastAsia="宋体"/>
          <w:sz w:val="24"/>
          <w:szCs w:val="24"/>
          <w:lang w:eastAsia="zh-CN"/>
        </w:rPr>
        <w:t>(1)</w:t>
      </w:r>
      <w:r>
        <w:rPr>
          <w:sz w:val="24"/>
          <w:szCs w:val="24"/>
        </w:rPr>
        <w:t>To organize and improve the system of responsibility for the protection and management of ecological environment in the entity;</w:t>
      </w:r>
    </w:p>
    <w:p w14:paraId="20E28581">
      <w:pPr>
        <w:ind w:firstLine="480" w:firstLineChars="200"/>
        <w:jc w:val="both"/>
        <w:rPr>
          <w:sz w:val="24"/>
          <w:szCs w:val="24"/>
        </w:rPr>
      </w:pPr>
      <w:r>
        <w:rPr>
          <w:rFonts w:hint="eastAsia" w:eastAsia="宋体"/>
          <w:sz w:val="24"/>
          <w:szCs w:val="24"/>
          <w:lang w:eastAsia="zh-CN"/>
        </w:rPr>
        <w:t>(2)</w:t>
      </w:r>
      <w:r>
        <w:rPr>
          <w:sz w:val="24"/>
          <w:szCs w:val="24"/>
        </w:rPr>
        <w:t>To regularly study and solve problems related to the protection of ecological environment;</w:t>
      </w:r>
    </w:p>
    <w:p w14:paraId="067F0DE5">
      <w:pPr>
        <w:ind w:firstLine="480" w:firstLineChars="200"/>
        <w:jc w:val="both"/>
        <w:rPr>
          <w:sz w:val="24"/>
          <w:szCs w:val="24"/>
        </w:rPr>
      </w:pPr>
      <w:r>
        <w:rPr>
          <w:rFonts w:hint="eastAsia" w:eastAsia="宋体"/>
          <w:sz w:val="24"/>
          <w:szCs w:val="24"/>
          <w:lang w:eastAsia="zh-CN"/>
        </w:rPr>
        <w:t>(3)</w:t>
      </w:r>
      <w:r>
        <w:rPr>
          <w:sz w:val="24"/>
          <w:szCs w:val="24"/>
        </w:rPr>
        <w:t>To ensure the normal operation of pollution prevention and control facilities and equipment;</w:t>
      </w:r>
    </w:p>
    <w:p w14:paraId="2E34AFE1">
      <w:pPr>
        <w:ind w:firstLine="480" w:firstLineChars="200"/>
        <w:jc w:val="both"/>
        <w:rPr>
          <w:sz w:val="24"/>
          <w:szCs w:val="24"/>
        </w:rPr>
      </w:pPr>
      <w:r>
        <w:rPr>
          <w:rFonts w:hint="eastAsia" w:eastAsia="宋体"/>
          <w:sz w:val="24"/>
          <w:szCs w:val="24"/>
          <w:lang w:eastAsia="zh-CN"/>
        </w:rPr>
        <w:t>(4)</w:t>
      </w:r>
      <w:r>
        <w:rPr>
          <w:sz w:val="24"/>
          <w:szCs w:val="24"/>
        </w:rPr>
        <w:t>To cooperate with the people's governments at various levels and their relevant departments in carrying out inspections and investigations on the protection of ecological environment, and to implement rectification and reform measures;</w:t>
      </w:r>
    </w:p>
    <w:p w14:paraId="2092579A">
      <w:pPr>
        <w:ind w:firstLine="480" w:firstLineChars="200"/>
        <w:jc w:val="both"/>
        <w:rPr>
          <w:sz w:val="24"/>
          <w:szCs w:val="24"/>
        </w:rPr>
      </w:pPr>
      <w:r>
        <w:rPr>
          <w:rFonts w:hint="eastAsia" w:eastAsia="宋体"/>
          <w:sz w:val="24"/>
          <w:szCs w:val="24"/>
          <w:lang w:eastAsia="zh-CN"/>
        </w:rPr>
        <w:t>(5)</w:t>
      </w:r>
      <w:r>
        <w:rPr>
          <w:sz w:val="24"/>
          <w:szCs w:val="24"/>
        </w:rPr>
        <w:t>To organize the preparation and implementation of emergency plans for ecological environmental emergencies and emergency handling of accidents;</w:t>
      </w:r>
    </w:p>
    <w:p w14:paraId="1DF18F74">
      <w:pPr>
        <w:ind w:firstLine="480" w:firstLineChars="200"/>
        <w:jc w:val="both"/>
        <w:rPr>
          <w:sz w:val="24"/>
          <w:szCs w:val="24"/>
        </w:rPr>
      </w:pPr>
      <w:r>
        <w:rPr>
          <w:rFonts w:hint="eastAsia" w:eastAsia="宋体"/>
          <w:sz w:val="24"/>
          <w:szCs w:val="24"/>
          <w:lang w:eastAsia="zh-CN"/>
        </w:rPr>
        <w:t>(6)</w:t>
      </w:r>
      <w:r>
        <w:rPr>
          <w:sz w:val="24"/>
          <w:szCs w:val="24"/>
        </w:rPr>
        <w:t>Other duties as prescribed by laws and regulations.</w:t>
      </w:r>
    </w:p>
    <w:p w14:paraId="1F1C3FBE">
      <w:pPr>
        <w:ind w:firstLine="480" w:firstLineChars="200"/>
        <w:jc w:val="both"/>
        <w:rPr>
          <w:sz w:val="24"/>
          <w:szCs w:val="24"/>
        </w:rPr>
      </w:pPr>
      <w:r>
        <w:rPr>
          <w:sz w:val="24"/>
          <w:szCs w:val="24"/>
        </w:rPr>
        <w:t>The principal responsible persons of other enterprises, institutions and other production and business operators shall, in accordance with relevant provisions, establish corresponding systems to clarify the responsibilities of the responsible persons of the entities and related personnel.</w:t>
      </w:r>
    </w:p>
    <w:p w14:paraId="58852339">
      <w:pPr>
        <w:ind w:firstLine="480" w:firstLineChars="200"/>
        <w:jc w:val="both"/>
        <w:rPr>
          <w:sz w:val="24"/>
          <w:szCs w:val="24"/>
        </w:rPr>
      </w:pPr>
      <w:r>
        <w:rPr>
          <w:b/>
          <w:color w:val="000000" w:themeColor="text1"/>
          <w:sz w:val="24"/>
          <w:szCs w:val="24"/>
          <w14:textFill>
            <w14:solidFill>
              <w14:schemeClr w14:val="tx1"/>
            </w14:solidFill>
          </w14:textFill>
        </w:rPr>
        <w:t>Article 35.</w:t>
      </w:r>
      <w:r>
        <w:rPr>
          <w:sz w:val="24"/>
          <w:szCs w:val="24"/>
        </w:rPr>
        <w:t xml:space="preserve"> The construction of projects that have an impact on the ecological environment shall be subjected to environmental impact assessment in accordance with law. The construction entity shall, in accordance with the relevant laws and regulations, organize and formulate environmental impact assessment documents and submit them to the competent ecological environment department with the power of examination and approval. The projects that have not been approved in environmental impact assessment according to law shall not be allowed for construction.</w:t>
      </w:r>
    </w:p>
    <w:p w14:paraId="0F44CA0C">
      <w:pPr>
        <w:ind w:firstLine="480" w:firstLineChars="200"/>
        <w:jc w:val="both"/>
        <w:rPr>
          <w:sz w:val="24"/>
          <w:szCs w:val="24"/>
        </w:rPr>
      </w:pPr>
      <w:r>
        <w:rPr>
          <w:sz w:val="24"/>
          <w:szCs w:val="24"/>
        </w:rPr>
        <w:t>The environmental impact assessment of construction projects should avoid duplication with the planned environmental impact assessment. If the planning of environmental impact assessment has been carried out, which covers the specific construction project, the contents of environmental impact assessment for the project shall be simplified according to the planned environmental impact assessment review opinions.</w:t>
      </w:r>
    </w:p>
    <w:p w14:paraId="13015E38">
      <w:pPr>
        <w:ind w:firstLine="480" w:firstLineChars="200"/>
        <w:jc w:val="both"/>
        <w:rPr>
          <w:sz w:val="24"/>
          <w:szCs w:val="24"/>
        </w:rPr>
      </w:pPr>
      <w:r>
        <w:rPr>
          <w:b/>
          <w:color w:val="000000" w:themeColor="text1"/>
          <w:sz w:val="24"/>
          <w:szCs w:val="24"/>
          <w14:textFill>
            <w14:solidFill>
              <w14:schemeClr w14:val="tx1"/>
            </w14:solidFill>
          </w14:textFill>
        </w:rPr>
        <w:t>Article 36.</w:t>
      </w:r>
      <w:r>
        <w:rPr>
          <w:sz w:val="24"/>
          <w:szCs w:val="24"/>
        </w:rPr>
        <w:t xml:space="preserve"> New construction, reconstruction and expansion projects shall, in accordance with the environmental impact assessment documents and the requirements of the approval and decision of the administrative department for ecological environment, construct pollution prevention facilities and implement measures for the protection of ecological environment.</w:t>
      </w:r>
    </w:p>
    <w:p w14:paraId="20F25169">
      <w:pPr>
        <w:ind w:firstLine="480" w:firstLineChars="200"/>
        <w:jc w:val="both"/>
        <w:rPr>
          <w:sz w:val="24"/>
          <w:szCs w:val="24"/>
        </w:rPr>
      </w:pPr>
      <w:r>
        <w:rPr>
          <w:sz w:val="24"/>
          <w:szCs w:val="24"/>
        </w:rPr>
        <w:t>Pollution prevention and control facilities shall be designed, constructed and put into</w:t>
      </w:r>
      <w:r>
        <w:rPr>
          <w:rFonts w:hint="eastAsia" w:eastAsia="宋体"/>
          <w:sz w:val="24"/>
          <w:szCs w:val="24"/>
          <w:lang w:val="en-US" w:eastAsia="zh-CN"/>
        </w:rPr>
        <w:t xml:space="preserve"> </w:t>
      </w:r>
      <w:r>
        <w:rPr>
          <w:sz w:val="24"/>
          <w:szCs w:val="24"/>
        </w:rPr>
        <w:t>operation simultaneously with the main project.</w:t>
      </w:r>
    </w:p>
    <w:p w14:paraId="4E1A9A23">
      <w:pPr>
        <w:ind w:firstLine="480" w:firstLineChars="200"/>
        <w:jc w:val="both"/>
        <w:rPr>
          <w:sz w:val="24"/>
          <w:szCs w:val="24"/>
        </w:rPr>
      </w:pPr>
      <w:r>
        <w:rPr>
          <w:sz w:val="24"/>
          <w:szCs w:val="24"/>
        </w:rPr>
        <w:t>Construction projects accompanied by environmental impact statements and environmental impact report shall be put into production or use only after the environmental protection facilities for their supporting construction have passed the acceptance check; production or use shall not be allowed before or without the acceptance.</w:t>
      </w:r>
    </w:p>
    <w:p w14:paraId="59BA1E82">
      <w:pPr>
        <w:ind w:firstLine="480" w:firstLineChars="200"/>
        <w:jc w:val="both"/>
        <w:rPr>
          <w:sz w:val="24"/>
          <w:szCs w:val="24"/>
        </w:rPr>
      </w:pPr>
      <w:r>
        <w:rPr>
          <w:sz w:val="24"/>
          <w:szCs w:val="24"/>
        </w:rPr>
        <w:t>Pollutant discharging entities shall ensure the normal operation of pollution prevention facilities and equipment, and shall not dismantle, idle or stop these facilities or equipment without authorization.</w:t>
      </w:r>
    </w:p>
    <w:p w14:paraId="14EDCFD9">
      <w:pPr>
        <w:ind w:firstLine="480" w:firstLineChars="200"/>
        <w:jc w:val="both"/>
        <w:rPr>
          <w:sz w:val="24"/>
          <w:szCs w:val="24"/>
        </w:rPr>
      </w:pPr>
      <w:r>
        <w:rPr>
          <w:b/>
          <w:color w:val="000000" w:themeColor="text1"/>
          <w:sz w:val="24"/>
          <w:szCs w:val="24"/>
          <w14:textFill>
            <w14:solidFill>
              <w14:schemeClr w14:val="tx1"/>
            </w14:solidFill>
          </w14:textFill>
        </w:rPr>
        <w:t>Article 37.</w:t>
      </w:r>
      <w:r>
        <w:rPr>
          <w:sz w:val="24"/>
          <w:szCs w:val="24"/>
        </w:rPr>
        <w:t xml:space="preserve"> The total amount of key pollutants discharged shall be controlled. The discharging permit management system shall be implemented in accordance with the provisions of the law.</w:t>
      </w:r>
    </w:p>
    <w:p w14:paraId="0863926C">
      <w:pPr>
        <w:ind w:firstLine="480" w:firstLineChars="200"/>
        <w:jc w:val="both"/>
        <w:rPr>
          <w:sz w:val="24"/>
          <w:szCs w:val="24"/>
        </w:rPr>
      </w:pPr>
      <w:r>
        <w:rPr>
          <w:sz w:val="24"/>
          <w:szCs w:val="24"/>
        </w:rPr>
        <w:t>Enterprises, institutions and other production and business operators that implement the discharging permit management shall discharge pollutants in accordance with the requirements of the discharge permit; no pollutants shall be discharged without a discharge permit.</w:t>
      </w:r>
    </w:p>
    <w:p w14:paraId="40C70468">
      <w:pPr>
        <w:ind w:firstLine="480" w:firstLineChars="200"/>
        <w:jc w:val="both"/>
        <w:rPr>
          <w:sz w:val="24"/>
          <w:szCs w:val="24"/>
        </w:rPr>
      </w:pPr>
      <w:r>
        <w:rPr>
          <w:sz w:val="24"/>
          <w:szCs w:val="24"/>
        </w:rPr>
        <w:t>Pollutant discharge shall not exceed the discharge standard and the total emission control index of key pollutants.</w:t>
      </w:r>
    </w:p>
    <w:p w14:paraId="463E0179">
      <w:pPr>
        <w:ind w:firstLine="480" w:firstLineChars="200"/>
        <w:jc w:val="both"/>
        <w:rPr>
          <w:sz w:val="24"/>
          <w:szCs w:val="24"/>
        </w:rPr>
      </w:pPr>
      <w:r>
        <w:rPr>
          <w:sz w:val="24"/>
          <w:szCs w:val="24"/>
        </w:rPr>
        <w:t>It is prohibited to discharge pollutants illegally through hidden pipes, seepage wells, seepage pits, pouring or tampering with or falsifying monitoring data, or by running pollution prevention and control facilities illegally.</w:t>
      </w:r>
    </w:p>
    <w:p w14:paraId="1B81507A">
      <w:pPr>
        <w:ind w:firstLine="480" w:firstLineChars="200"/>
        <w:jc w:val="both"/>
        <w:rPr>
          <w:sz w:val="24"/>
          <w:szCs w:val="24"/>
        </w:rPr>
      </w:pPr>
      <w:r>
        <w:rPr>
          <w:b/>
          <w:color w:val="000000" w:themeColor="text1"/>
          <w:sz w:val="24"/>
          <w:szCs w:val="24"/>
          <w14:textFill>
            <w14:solidFill>
              <w14:schemeClr w14:val="tx1"/>
            </w14:solidFill>
          </w14:textFill>
        </w:rPr>
        <w:t>Article 38.</w:t>
      </w:r>
      <w:r>
        <w:rPr>
          <w:sz w:val="24"/>
          <w:szCs w:val="24"/>
        </w:rPr>
        <w:t xml:space="preserve"> Enterprises, institutions and other production and business operators that discharge pollutants shall, in accordance with laws and regulations and relevant provisions, set up sewage outlets and signs.</w:t>
      </w:r>
    </w:p>
    <w:p w14:paraId="633D492B">
      <w:pPr>
        <w:ind w:firstLine="480" w:firstLineChars="200"/>
        <w:jc w:val="both"/>
        <w:rPr>
          <w:sz w:val="24"/>
          <w:szCs w:val="24"/>
        </w:rPr>
      </w:pPr>
      <w:r>
        <w:rPr>
          <w:b/>
          <w:color w:val="000000" w:themeColor="text1"/>
          <w:sz w:val="24"/>
          <w:szCs w:val="24"/>
          <w14:textFill>
            <w14:solidFill>
              <w14:schemeClr w14:val="tx1"/>
            </w14:solidFill>
          </w14:textFill>
        </w:rPr>
        <w:t>Article 39.</w:t>
      </w:r>
      <w:r>
        <w:rPr>
          <w:sz w:val="24"/>
          <w:szCs w:val="24"/>
        </w:rPr>
        <w:t xml:space="preserve"> Key pollutant discharging entities shall, in accordance with the provisions, install automatic monitoring equipment for pollutant discharge and ensure its normal operation and data transmission, shall not dismantle, stop, change or damage these equipment without authorization, and shall be responsible for the authenticity and accuracy of the data. The automatic monitoring equipment shall be connected with the monitoring equipment of the administrative department for ecological environment.</w:t>
      </w:r>
    </w:p>
    <w:p w14:paraId="176D1743">
      <w:pPr>
        <w:ind w:firstLine="480" w:firstLineChars="200"/>
        <w:jc w:val="both"/>
        <w:rPr>
          <w:sz w:val="24"/>
          <w:szCs w:val="24"/>
        </w:rPr>
      </w:pPr>
      <w:r>
        <w:rPr>
          <w:sz w:val="24"/>
          <w:szCs w:val="24"/>
        </w:rPr>
        <w:t>If the automatic monitoring equipment fails, the key pollutant discharging entity shall report in writing to the local ecological environment department within 12 hours after the failure. During the period when the automatic monitoring equipment is not in normal operation, the key pollutant discharging entity shall, in accordance with relevant regulations, adopt the method of manual monitoring and submit the monitoring data to the local ecological environment authorities.</w:t>
      </w:r>
    </w:p>
    <w:p w14:paraId="216C31A4">
      <w:pPr>
        <w:ind w:firstLine="480" w:firstLineChars="200"/>
        <w:jc w:val="both"/>
        <w:rPr>
          <w:sz w:val="24"/>
          <w:szCs w:val="24"/>
        </w:rPr>
      </w:pPr>
      <w:r>
        <w:rPr>
          <w:sz w:val="24"/>
          <w:szCs w:val="24"/>
        </w:rPr>
        <w:t>Whoever implements manual monitoring in accordance with the relevant provisions of the State, shall keep the original monitoring records and shall be responsible for the authenticity and accuracy of the data.</w:t>
      </w:r>
    </w:p>
    <w:p w14:paraId="2CA02B5B">
      <w:pPr>
        <w:ind w:firstLine="480" w:firstLineChars="200"/>
        <w:jc w:val="both"/>
        <w:rPr>
          <w:sz w:val="24"/>
          <w:szCs w:val="24"/>
        </w:rPr>
      </w:pPr>
      <w:r>
        <w:rPr>
          <w:b/>
          <w:color w:val="000000" w:themeColor="text1"/>
          <w:sz w:val="24"/>
          <w:szCs w:val="24"/>
          <w14:textFill>
            <w14:solidFill>
              <w14:schemeClr w14:val="tx1"/>
            </w14:solidFill>
          </w14:textFill>
        </w:rPr>
        <w:t>Article 40.</w:t>
      </w:r>
      <w:r>
        <w:rPr>
          <w:sz w:val="24"/>
          <w:szCs w:val="24"/>
        </w:rPr>
        <w:t xml:space="preserve"> Enterprises, institutions and other production and business operators shall, in accordance with the relevant provisions of the State and the Province, establish environmental management accounts, and shall be responsible for the authenticity and integrity of the accounts.</w:t>
      </w:r>
    </w:p>
    <w:p w14:paraId="4908FA5E">
      <w:pPr>
        <w:ind w:firstLine="480" w:firstLineChars="200"/>
        <w:jc w:val="both"/>
        <w:rPr>
          <w:sz w:val="24"/>
          <w:szCs w:val="24"/>
        </w:rPr>
      </w:pPr>
      <w:r>
        <w:rPr>
          <w:b/>
          <w:color w:val="000000" w:themeColor="text1"/>
          <w:sz w:val="24"/>
          <w:szCs w:val="24"/>
          <w14:textFill>
            <w14:solidFill>
              <w14:schemeClr w14:val="tx1"/>
            </w14:solidFill>
          </w14:textFill>
        </w:rPr>
        <w:t>Article 41.</w:t>
      </w:r>
      <w:r>
        <w:rPr>
          <w:sz w:val="24"/>
          <w:szCs w:val="24"/>
        </w:rPr>
        <w:t xml:space="preserve"> Key pollutant discharging entities shall truthfully disclose to the public the names of their major pollutants, discharge modes, emission concentrations and total quantities, the discharge in excess of standards, as well as the construction and operation of pollution prevention and control facilities, and shall disclose other information in accordance with relevant laws and regulations to accept social supervision.</w:t>
      </w:r>
    </w:p>
    <w:p w14:paraId="2A7C1745">
      <w:pPr>
        <w:ind w:firstLine="480" w:firstLineChars="200"/>
        <w:jc w:val="both"/>
        <w:rPr>
          <w:sz w:val="24"/>
          <w:szCs w:val="24"/>
        </w:rPr>
      </w:pPr>
      <w:r>
        <w:rPr>
          <w:b/>
          <w:color w:val="000000" w:themeColor="text1"/>
          <w:sz w:val="24"/>
          <w:szCs w:val="24"/>
          <w14:textFill>
            <w14:solidFill>
              <w14:schemeClr w14:val="tx1"/>
            </w14:solidFill>
          </w14:textFill>
        </w:rPr>
        <w:t>Article 42.</w:t>
      </w:r>
      <w:r>
        <w:rPr>
          <w:sz w:val="24"/>
          <w:szCs w:val="24"/>
        </w:rPr>
        <w:t xml:space="preserve"> Enterprises and institutions shall, in accordance with the relevant provisions of the State and the Province, formulate contingency plans for sudden ecological environmental events and report them to the competent ecological environment departments and relevant departments for the record. Investigation shall be strengthened on environmental risks and hidden troubles , regular emergency drills shall be conducted.</w:t>
      </w:r>
    </w:p>
    <w:p w14:paraId="65606D28">
      <w:pPr>
        <w:ind w:firstLine="480" w:firstLineChars="200"/>
        <w:jc w:val="both"/>
        <w:rPr>
          <w:sz w:val="24"/>
          <w:szCs w:val="24"/>
        </w:rPr>
      </w:pPr>
      <w:r>
        <w:rPr>
          <w:sz w:val="24"/>
          <w:szCs w:val="24"/>
        </w:rPr>
        <w:t>In the event of or possible occurrence of an unexpected ecological environment event, enterprises and institutions shall immediately initiate the emergency plan for unexpected ecological environment event, take measures to deal with it, promptly notify the entities and residents who may be endangered, and report to the administrative department for ecological environment and the relevant departments.</w:t>
      </w:r>
    </w:p>
    <w:p w14:paraId="5A7B52C1">
      <w:pPr>
        <w:ind w:firstLine="480" w:firstLineChars="200"/>
        <w:jc w:val="both"/>
        <w:rPr>
          <w:sz w:val="24"/>
          <w:szCs w:val="24"/>
        </w:rPr>
      </w:pPr>
      <w:r>
        <w:rPr>
          <w:b/>
          <w:color w:val="000000" w:themeColor="text1"/>
          <w:sz w:val="24"/>
          <w:szCs w:val="24"/>
          <w14:textFill>
            <w14:solidFill>
              <w14:schemeClr w14:val="tx1"/>
            </w14:solidFill>
          </w14:textFill>
        </w:rPr>
        <w:t>Article 43.</w:t>
      </w:r>
      <w:r>
        <w:rPr>
          <w:sz w:val="24"/>
          <w:szCs w:val="24"/>
        </w:rPr>
        <w:t xml:space="preserve"> Enterprises, institutions and other production and business operators may entrust environmental service institutions with the operation of their pollution control facilities or the implementation of pollution control. The entrusting of environmental service organization shall not relief its own responsibility of pollution prevention.</w:t>
      </w:r>
    </w:p>
    <w:p w14:paraId="400B4470">
      <w:pPr>
        <w:ind w:firstLine="480" w:firstLineChars="200"/>
        <w:jc w:val="both"/>
        <w:rPr>
          <w:sz w:val="24"/>
          <w:szCs w:val="24"/>
        </w:rPr>
      </w:pPr>
      <w:r>
        <w:rPr>
          <w:sz w:val="24"/>
          <w:szCs w:val="24"/>
        </w:rPr>
        <w:t>Environmental impact assessment institutions, environmental monitoring institutions and institutions engaged in the maintenance and operation of environmental monitoring equipment and pollution prevention facilities shall provide environmental services in accordance with the provisions of laws and regulations and relevant technical specifications.</w:t>
      </w:r>
    </w:p>
    <w:p w14:paraId="71AFD4DB">
      <w:pPr>
        <w:ind w:firstLine="480" w:firstLineChars="200"/>
        <w:jc w:val="both"/>
        <w:rPr>
          <w:sz w:val="24"/>
          <w:szCs w:val="24"/>
        </w:rPr>
      </w:pPr>
      <w:r>
        <w:rPr>
          <w:b/>
          <w:color w:val="000000" w:themeColor="text1"/>
          <w:sz w:val="24"/>
          <w:szCs w:val="24"/>
          <w14:textFill>
            <w14:solidFill>
              <w14:schemeClr w14:val="tx1"/>
            </w14:solidFill>
          </w14:textFill>
        </w:rPr>
        <w:t>Article 44.</w:t>
      </w:r>
      <w:r>
        <w:rPr>
          <w:sz w:val="24"/>
          <w:szCs w:val="24"/>
        </w:rPr>
        <w:t xml:space="preserve"> Enterprises, institutions and other production and business operators shall, in accordance with the provisions of laws and regulations, take preventive measures to prevent environmental pollution caused by:</w:t>
      </w:r>
    </w:p>
    <w:p w14:paraId="7FEC3688">
      <w:pPr>
        <w:ind w:firstLine="480" w:firstLineChars="200"/>
        <w:jc w:val="both"/>
        <w:rPr>
          <w:sz w:val="24"/>
          <w:szCs w:val="24"/>
        </w:rPr>
      </w:pPr>
      <w:r>
        <w:rPr>
          <w:rFonts w:hint="eastAsia" w:eastAsia="宋体"/>
          <w:sz w:val="24"/>
          <w:szCs w:val="24"/>
          <w:lang w:eastAsia="zh-CN"/>
        </w:rPr>
        <w:t>(1)</w:t>
      </w:r>
      <w:r>
        <w:rPr>
          <w:sz w:val="24"/>
          <w:szCs w:val="24"/>
        </w:rPr>
        <w:t>Production, storage, transportation, sales, use and disposal of chemical articles containing radioactive substances;</w:t>
      </w:r>
    </w:p>
    <w:p w14:paraId="0D962CB9">
      <w:pPr>
        <w:ind w:firstLine="480" w:firstLineChars="200"/>
        <w:jc w:val="both"/>
        <w:rPr>
          <w:sz w:val="24"/>
          <w:szCs w:val="24"/>
        </w:rPr>
      </w:pPr>
      <w:r>
        <w:rPr>
          <w:rFonts w:hint="eastAsia" w:eastAsia="宋体"/>
          <w:sz w:val="24"/>
          <w:szCs w:val="24"/>
          <w:lang w:eastAsia="zh-CN"/>
        </w:rPr>
        <w:t>(2)</w:t>
      </w:r>
      <w:r>
        <w:rPr>
          <w:sz w:val="24"/>
          <w:szCs w:val="24"/>
        </w:rPr>
        <w:t>Use of reflective materials for the lighting of urban buildings, roads, landscapes and</w:t>
      </w:r>
    </w:p>
    <w:p w14:paraId="2031DABA">
      <w:pPr>
        <w:jc w:val="both"/>
        <w:rPr>
          <w:sz w:val="24"/>
          <w:szCs w:val="24"/>
        </w:rPr>
      </w:pPr>
      <w:r>
        <w:rPr>
          <w:sz w:val="24"/>
          <w:szCs w:val="24"/>
        </w:rPr>
        <w:t>outdoor advertisements, and for exterior walls of buildings;</w:t>
      </w:r>
    </w:p>
    <w:p w14:paraId="0420C589">
      <w:pPr>
        <w:ind w:firstLine="480" w:firstLineChars="200"/>
        <w:jc w:val="both"/>
        <w:rPr>
          <w:sz w:val="24"/>
          <w:szCs w:val="24"/>
        </w:rPr>
      </w:pPr>
      <w:r>
        <w:rPr>
          <w:rFonts w:hint="eastAsia" w:eastAsia="宋体"/>
          <w:sz w:val="24"/>
          <w:szCs w:val="24"/>
          <w:lang w:eastAsia="zh-CN"/>
        </w:rPr>
        <w:t>(3)</w:t>
      </w:r>
      <w:r>
        <w:rPr>
          <w:sz w:val="24"/>
          <w:szCs w:val="24"/>
        </w:rPr>
        <w:t>Disposing of agricultural wastes such as agricultural film and crop straw;</w:t>
      </w:r>
    </w:p>
    <w:p w14:paraId="18E6744B">
      <w:pPr>
        <w:ind w:firstLine="480" w:firstLineChars="200"/>
        <w:jc w:val="both"/>
        <w:rPr>
          <w:sz w:val="24"/>
          <w:szCs w:val="24"/>
        </w:rPr>
      </w:pPr>
      <w:r>
        <w:rPr>
          <w:rFonts w:hint="eastAsia" w:eastAsia="宋体"/>
          <w:sz w:val="24"/>
          <w:szCs w:val="24"/>
          <w:lang w:eastAsia="zh-CN"/>
        </w:rPr>
        <w:t>(4)</w:t>
      </w:r>
      <w:r>
        <w:rPr>
          <w:sz w:val="24"/>
          <w:szCs w:val="24"/>
        </w:rPr>
        <w:t>Disposing of wastes such as animal manure, carcasses and sewage;</w:t>
      </w:r>
    </w:p>
    <w:p w14:paraId="02D2F992">
      <w:pPr>
        <w:ind w:firstLine="480" w:firstLineChars="200"/>
        <w:jc w:val="both"/>
        <w:rPr>
          <w:sz w:val="24"/>
          <w:szCs w:val="24"/>
        </w:rPr>
      </w:pPr>
      <w:r>
        <w:rPr>
          <w:rFonts w:hint="eastAsia" w:eastAsia="宋体"/>
          <w:sz w:val="24"/>
          <w:szCs w:val="24"/>
          <w:lang w:eastAsia="zh-CN"/>
        </w:rPr>
        <w:t>(5)</w:t>
      </w:r>
      <w:r>
        <w:rPr>
          <w:sz w:val="24"/>
          <w:szCs w:val="24"/>
        </w:rPr>
        <w:t>Other causes of environmental pollution.</w:t>
      </w:r>
    </w:p>
    <w:p w14:paraId="5F12A169">
      <w:pPr>
        <w:ind w:firstLine="480" w:firstLineChars="200"/>
        <w:jc w:val="both"/>
        <w:rPr>
          <w:sz w:val="24"/>
          <w:szCs w:val="24"/>
        </w:rPr>
      </w:pPr>
      <w:r>
        <w:rPr>
          <w:sz w:val="24"/>
          <w:szCs w:val="24"/>
        </w:rPr>
        <w:t>The application of agricultural inputs such as pesticides and fertilizers and for irrigation shall</w:t>
      </w:r>
      <w:r>
        <w:rPr>
          <w:rFonts w:hint="eastAsia" w:eastAsia="宋体"/>
          <w:sz w:val="24"/>
          <w:szCs w:val="24"/>
          <w:lang w:eastAsia="zh-CN"/>
        </w:rPr>
        <w:t xml:space="preserve"> </w:t>
      </w:r>
      <w:r>
        <w:rPr>
          <w:sz w:val="24"/>
          <w:szCs w:val="24"/>
        </w:rPr>
        <w:t>prevent heavy metals and other toxic and harmful substances from polluting the environment.</w:t>
      </w:r>
    </w:p>
    <w:p w14:paraId="41D50C35">
      <w:pPr>
        <w:ind w:firstLine="480" w:firstLineChars="200"/>
        <w:jc w:val="both"/>
        <w:rPr>
          <w:sz w:val="24"/>
          <w:szCs w:val="24"/>
        </w:rPr>
      </w:pPr>
      <w:r>
        <w:rPr>
          <w:sz w:val="24"/>
          <w:szCs w:val="24"/>
        </w:rPr>
        <w:t>Solid wastes and waste water that does not meet agricultural and environmental standards shall be prohibited to the farmland.</w:t>
      </w:r>
    </w:p>
    <w:p w14:paraId="3831A526">
      <w:pPr>
        <w:jc w:val="both"/>
        <w:rPr>
          <w:sz w:val="24"/>
          <w:szCs w:val="24"/>
        </w:rPr>
      </w:pPr>
    </w:p>
    <w:p w14:paraId="753E6654">
      <w:pPr>
        <w:jc w:val="center"/>
        <w:rPr>
          <w:b/>
          <w:bCs/>
          <w:sz w:val="32"/>
          <w:szCs w:val="32"/>
        </w:rPr>
      </w:pPr>
      <w:r>
        <w:rPr>
          <w:b/>
          <w:bCs/>
          <w:sz w:val="32"/>
          <w:szCs w:val="32"/>
        </w:rPr>
        <w:t xml:space="preserve">Chapter V </w:t>
      </w:r>
      <w:r>
        <w:rPr>
          <w:rFonts w:hint="eastAsia" w:eastAsia="宋体"/>
          <w:b/>
          <w:bCs/>
          <w:sz w:val="32"/>
          <w:szCs w:val="32"/>
          <w:lang w:eastAsia="zh-CN"/>
        </w:rPr>
        <w:t xml:space="preserve"> </w:t>
      </w:r>
      <w:r>
        <w:rPr>
          <w:b/>
          <w:bCs/>
          <w:sz w:val="32"/>
          <w:szCs w:val="32"/>
        </w:rPr>
        <w:t>Supervision and Administration</w:t>
      </w:r>
    </w:p>
    <w:p w14:paraId="6B8D5499">
      <w:pPr>
        <w:jc w:val="both"/>
        <w:rPr>
          <w:sz w:val="24"/>
          <w:szCs w:val="24"/>
        </w:rPr>
      </w:pPr>
    </w:p>
    <w:p w14:paraId="7AD0601D">
      <w:pPr>
        <w:ind w:firstLine="480" w:firstLineChars="200"/>
        <w:jc w:val="both"/>
        <w:rPr>
          <w:sz w:val="24"/>
          <w:szCs w:val="24"/>
        </w:rPr>
      </w:pPr>
      <w:r>
        <w:rPr>
          <w:b/>
          <w:color w:val="000000" w:themeColor="text1"/>
          <w:sz w:val="24"/>
          <w:szCs w:val="24"/>
          <w14:textFill>
            <w14:solidFill>
              <w14:schemeClr w14:val="tx1"/>
            </w14:solidFill>
          </w14:textFill>
        </w:rPr>
        <w:t>Article 45.</w:t>
      </w:r>
      <w:r>
        <w:rPr>
          <w:sz w:val="24"/>
          <w:szCs w:val="24"/>
        </w:rPr>
        <w:t xml:space="preserve"> The people's governments at all levels shall, in accordance with the principle of consistent power and responsibility, clarify the responsibilities of various departments in the work of ecological environment protection, improve the means of information supervision, strengthen information sharing, and establish a multi-party supervision and administration mechanism for ecological environment protection.</w:t>
      </w:r>
    </w:p>
    <w:p w14:paraId="49422A66">
      <w:pPr>
        <w:ind w:firstLine="480" w:firstLineChars="200"/>
        <w:jc w:val="both"/>
        <w:rPr>
          <w:sz w:val="24"/>
          <w:szCs w:val="24"/>
        </w:rPr>
      </w:pPr>
      <w:r>
        <w:rPr>
          <w:b/>
          <w:color w:val="000000" w:themeColor="text1"/>
          <w:sz w:val="24"/>
          <w:szCs w:val="24"/>
          <w14:textFill>
            <w14:solidFill>
              <w14:schemeClr w14:val="tx1"/>
            </w14:solidFill>
          </w14:textFill>
        </w:rPr>
        <w:t>Article 46.</w:t>
      </w:r>
      <w:r>
        <w:rPr>
          <w:sz w:val="24"/>
          <w:szCs w:val="24"/>
        </w:rPr>
        <w:t xml:space="preserve"> The people's governments at various levels shall strictly implement relevant plans for the protection of ecological environment, and shall not adjust or modify them without authorization. Where adjustment or modification is necessary, it shall be carried out in accordance with legal procedures.</w:t>
      </w:r>
    </w:p>
    <w:p w14:paraId="4D2E6B08">
      <w:pPr>
        <w:ind w:firstLine="480" w:firstLineChars="200"/>
        <w:jc w:val="both"/>
        <w:rPr>
          <w:sz w:val="24"/>
          <w:szCs w:val="24"/>
        </w:rPr>
      </w:pPr>
      <w:r>
        <w:rPr>
          <w:b/>
          <w:color w:val="000000" w:themeColor="text1"/>
          <w:sz w:val="24"/>
          <w:szCs w:val="24"/>
          <w14:textFill>
            <w14:solidFill>
              <w14:schemeClr w14:val="tx1"/>
            </w14:solidFill>
          </w14:textFill>
        </w:rPr>
        <w:t>Article 47.</w:t>
      </w:r>
      <w:r>
        <w:rPr>
          <w:sz w:val="24"/>
          <w:szCs w:val="24"/>
        </w:rPr>
        <w:t xml:space="preserve"> The people’s government of the Province shall strictly implement the total quantity control system of key pollutants, and scientifically decompose the total quantity control indicators of key pollutants in accordance with the relevant provisions of the State and in accordance with the needs of improving environmental quality.</w:t>
      </w:r>
    </w:p>
    <w:p w14:paraId="657A00A9">
      <w:pPr>
        <w:ind w:firstLine="480" w:firstLineChars="200"/>
        <w:jc w:val="both"/>
        <w:rPr>
          <w:sz w:val="24"/>
          <w:szCs w:val="24"/>
        </w:rPr>
      </w:pPr>
      <w:r>
        <w:rPr>
          <w:sz w:val="24"/>
          <w:szCs w:val="24"/>
        </w:rPr>
        <w:t>The administrative departments for ecological environment shall establish a total account for the discharge of key pollutants.</w:t>
      </w:r>
    </w:p>
    <w:p w14:paraId="16DBAD66">
      <w:pPr>
        <w:ind w:firstLine="480" w:firstLineChars="200"/>
        <w:jc w:val="both"/>
        <w:rPr>
          <w:sz w:val="24"/>
          <w:szCs w:val="24"/>
        </w:rPr>
      </w:pPr>
      <w:r>
        <w:rPr>
          <w:b/>
          <w:color w:val="000000" w:themeColor="text1"/>
          <w:sz w:val="24"/>
          <w:szCs w:val="24"/>
          <w14:textFill>
            <w14:solidFill>
              <w14:schemeClr w14:val="tx1"/>
            </w14:solidFill>
          </w14:textFill>
        </w:rPr>
        <w:t>Article 48.</w:t>
      </w:r>
      <w:r>
        <w:rPr>
          <w:sz w:val="24"/>
          <w:szCs w:val="24"/>
        </w:rPr>
        <w:t xml:space="preserve"> The people’s government of the Province shall, in accordance with law, formulate local environmental quality standards and local pollutant discharge standards, and report them to the administrative department for ecological environment under the State Council for the record.</w:t>
      </w:r>
    </w:p>
    <w:p w14:paraId="0694B7E1">
      <w:pPr>
        <w:ind w:firstLine="480" w:firstLineChars="200"/>
        <w:jc w:val="both"/>
        <w:rPr>
          <w:sz w:val="24"/>
          <w:szCs w:val="24"/>
        </w:rPr>
      </w:pPr>
      <w:r>
        <w:rPr>
          <w:sz w:val="24"/>
          <w:szCs w:val="24"/>
        </w:rPr>
        <w:t>The people’s government of the Province may, in the light of the needs of ecological environment quality improvement, determine the implementation of special emission limits in key areas and watersheds that are close to or exceed the upper limit of environmental capacity.</w:t>
      </w:r>
    </w:p>
    <w:p w14:paraId="0EF0ADA2">
      <w:pPr>
        <w:ind w:firstLine="480" w:firstLineChars="200"/>
        <w:jc w:val="both"/>
        <w:rPr>
          <w:sz w:val="24"/>
          <w:szCs w:val="24"/>
        </w:rPr>
      </w:pPr>
      <w:r>
        <w:rPr>
          <w:b/>
          <w:color w:val="000000" w:themeColor="text1"/>
          <w:sz w:val="24"/>
          <w:szCs w:val="24"/>
          <w14:textFill>
            <w14:solidFill>
              <w14:schemeClr w14:val="tx1"/>
            </w14:solidFill>
          </w14:textFill>
        </w:rPr>
        <w:t>Article 49.</w:t>
      </w:r>
      <w:r>
        <w:rPr>
          <w:sz w:val="24"/>
          <w:szCs w:val="24"/>
        </w:rPr>
        <w:t xml:space="preserve"> The people's governments at the county level and upwards and their relevant departments shall, in accordance with the law, carry out environmental impact assessment on the comprehensive plans for land and space planning, regional and watershed construction, development and utilization planning, as well as the relevant special plans for industry, agriculture, animal husbandry, forestry, energy, water conservancy, transportation, urban construction, tourism and natural resources development as formulated by their organizations.</w:t>
      </w:r>
    </w:p>
    <w:p w14:paraId="05717F05">
      <w:pPr>
        <w:ind w:firstLine="480" w:firstLineChars="200"/>
        <w:jc w:val="both"/>
        <w:rPr>
          <w:sz w:val="24"/>
          <w:szCs w:val="24"/>
        </w:rPr>
      </w:pPr>
      <w:r>
        <w:rPr>
          <w:sz w:val="24"/>
          <w:szCs w:val="24"/>
        </w:rPr>
        <w:t>If the environmental impact assessment is not carried out in accordance with law, the</w:t>
      </w:r>
      <w:r>
        <w:rPr>
          <w:rFonts w:hint="eastAsia" w:eastAsia="宋体"/>
          <w:sz w:val="24"/>
          <w:szCs w:val="24"/>
          <w:lang w:val="en-US" w:eastAsia="zh-CN"/>
        </w:rPr>
        <w:t xml:space="preserve"> </w:t>
      </w:r>
      <w:r>
        <w:rPr>
          <w:sz w:val="24"/>
          <w:szCs w:val="24"/>
        </w:rPr>
        <w:t>examination and approval authority shall not approve it.</w:t>
      </w:r>
    </w:p>
    <w:p w14:paraId="02B277AC">
      <w:pPr>
        <w:ind w:firstLine="480" w:firstLineChars="200"/>
        <w:jc w:val="both"/>
        <w:rPr>
          <w:sz w:val="24"/>
          <w:szCs w:val="24"/>
        </w:rPr>
      </w:pPr>
      <w:r>
        <w:rPr>
          <w:b/>
          <w:color w:val="000000" w:themeColor="text1"/>
          <w:sz w:val="24"/>
          <w:szCs w:val="24"/>
          <w14:textFill>
            <w14:solidFill>
              <w14:schemeClr w14:val="tx1"/>
            </w14:solidFill>
          </w14:textFill>
        </w:rPr>
        <w:t>Article 50.</w:t>
      </w:r>
      <w:r>
        <w:rPr>
          <w:sz w:val="24"/>
          <w:szCs w:val="24"/>
        </w:rPr>
        <w:t xml:space="preserve"> In any of the following circumstances, the administrative department for ecological environment under the people’s government of the Province shall suspend the examination and approval of the environmental impact assessment report and sheet of the construction project for the total amount of new key pollutants discharged in the region:</w:t>
      </w:r>
    </w:p>
    <w:p w14:paraId="638E40E1">
      <w:pPr>
        <w:ind w:firstLine="480" w:firstLineChars="200"/>
        <w:jc w:val="both"/>
        <w:rPr>
          <w:sz w:val="24"/>
          <w:szCs w:val="24"/>
        </w:rPr>
      </w:pPr>
      <w:r>
        <w:rPr>
          <w:rFonts w:hint="eastAsia" w:eastAsia="宋体"/>
          <w:sz w:val="24"/>
          <w:szCs w:val="24"/>
          <w:lang w:eastAsia="zh-CN"/>
        </w:rPr>
        <w:t>(1)</w:t>
      </w:r>
      <w:r>
        <w:rPr>
          <w:sz w:val="24"/>
          <w:szCs w:val="24"/>
        </w:rPr>
        <w:t>Failure to meet the objective of environmental quality improvement;</w:t>
      </w:r>
    </w:p>
    <w:p w14:paraId="1C665D42">
      <w:pPr>
        <w:ind w:firstLine="480" w:firstLineChars="200"/>
        <w:jc w:val="both"/>
        <w:rPr>
          <w:sz w:val="24"/>
          <w:szCs w:val="24"/>
        </w:rPr>
      </w:pPr>
      <w:r>
        <w:rPr>
          <w:rFonts w:hint="eastAsia" w:eastAsia="宋体"/>
          <w:sz w:val="24"/>
          <w:szCs w:val="24"/>
          <w:lang w:eastAsia="zh-CN"/>
        </w:rPr>
        <w:t>(2)</w:t>
      </w:r>
      <w:r>
        <w:rPr>
          <w:sz w:val="24"/>
          <w:szCs w:val="24"/>
        </w:rPr>
        <w:t>The discharge of key pollutants exceeding the total quantity control target;</w:t>
      </w:r>
    </w:p>
    <w:p w14:paraId="6857262C">
      <w:pPr>
        <w:ind w:firstLine="480" w:firstLineChars="200"/>
        <w:jc w:val="both"/>
        <w:rPr>
          <w:sz w:val="24"/>
          <w:szCs w:val="24"/>
        </w:rPr>
      </w:pPr>
      <w:r>
        <w:rPr>
          <w:rFonts w:hint="eastAsia" w:eastAsia="宋体"/>
          <w:sz w:val="24"/>
          <w:szCs w:val="24"/>
          <w:lang w:eastAsia="zh-CN"/>
        </w:rPr>
        <w:t>(3)</w:t>
      </w:r>
      <w:r>
        <w:rPr>
          <w:sz w:val="24"/>
          <w:szCs w:val="24"/>
        </w:rPr>
        <w:t>Other circumstances prescribed by laws and regulations.</w:t>
      </w:r>
    </w:p>
    <w:p w14:paraId="6C1D05BD">
      <w:pPr>
        <w:ind w:firstLine="480" w:firstLineChars="200"/>
        <w:jc w:val="both"/>
        <w:rPr>
          <w:sz w:val="24"/>
          <w:szCs w:val="24"/>
        </w:rPr>
      </w:pPr>
      <w:r>
        <w:rPr>
          <w:b/>
          <w:color w:val="000000" w:themeColor="text1"/>
          <w:sz w:val="24"/>
          <w:szCs w:val="24"/>
          <w14:textFill>
            <w14:solidFill>
              <w14:schemeClr w14:val="tx1"/>
            </w14:solidFill>
          </w14:textFill>
        </w:rPr>
        <w:t>Article 51.</w:t>
      </w:r>
      <w:r>
        <w:rPr>
          <w:sz w:val="24"/>
          <w:szCs w:val="24"/>
        </w:rPr>
        <w:t xml:space="preserve"> The administrative departments for ecological environment shall implement  the supervision system of fixed pollution sources with the discharging permit system as the core, strengthen supervision and inspection, and promptly correct illegal acts in the implementation of the discharging permit system.</w:t>
      </w:r>
    </w:p>
    <w:p w14:paraId="5BE90AAB">
      <w:pPr>
        <w:ind w:firstLine="480" w:firstLineChars="200"/>
        <w:jc w:val="both"/>
        <w:rPr>
          <w:sz w:val="24"/>
          <w:szCs w:val="24"/>
        </w:rPr>
      </w:pPr>
      <w:r>
        <w:rPr>
          <w:b/>
          <w:color w:val="000000" w:themeColor="text1"/>
          <w:sz w:val="24"/>
          <w:szCs w:val="24"/>
          <w14:textFill>
            <w14:solidFill>
              <w14:schemeClr w14:val="tx1"/>
            </w14:solidFill>
          </w14:textFill>
        </w:rPr>
        <w:t>Article 52.</w:t>
      </w:r>
      <w:r>
        <w:rPr>
          <w:sz w:val="24"/>
          <w:szCs w:val="24"/>
        </w:rPr>
        <w:t xml:space="preserve"> The people's governments at the county level and upwards and their relevant departments shall establish a monitoring and early warning mechanism for the carrying capacity of resources and the environment, and establish a public monitoring and early warning mechanism for environmental pollution, so as to use modern information technology to improve the construction of ecological environment monitoring networks and platforms, and improve the ability of monitoring and early warning.</w:t>
      </w:r>
    </w:p>
    <w:p w14:paraId="636FFF08">
      <w:pPr>
        <w:ind w:firstLine="480" w:firstLineChars="200"/>
        <w:jc w:val="both"/>
        <w:rPr>
          <w:sz w:val="24"/>
          <w:szCs w:val="24"/>
        </w:rPr>
      </w:pPr>
      <w:r>
        <w:rPr>
          <w:b/>
          <w:color w:val="000000" w:themeColor="text1"/>
          <w:sz w:val="24"/>
          <w:szCs w:val="24"/>
          <w14:textFill>
            <w14:solidFill>
              <w14:schemeClr w14:val="tx1"/>
            </w14:solidFill>
          </w14:textFill>
        </w:rPr>
        <w:t>Article 53.</w:t>
      </w:r>
      <w:r>
        <w:rPr>
          <w:sz w:val="24"/>
          <w:szCs w:val="24"/>
        </w:rPr>
        <w:t xml:space="preserve"> The people's governments at various levels and their relevant departments shall, in accordance with the provisions of relevant laws and regulations, formulate contingency plans for sudden ecological environmental events, establish emergency handling mechanisms for sudden ecological environmental events, and do a good job in monitoring and early warning, risk control, emergency preparedness, emergency handling and post-recovery of sudden ecological environmental events.</w:t>
      </w:r>
    </w:p>
    <w:p w14:paraId="4724D232">
      <w:pPr>
        <w:ind w:firstLine="480" w:firstLineChars="200"/>
        <w:jc w:val="both"/>
        <w:rPr>
          <w:sz w:val="24"/>
          <w:szCs w:val="24"/>
        </w:rPr>
      </w:pPr>
      <w:r>
        <w:rPr>
          <w:sz w:val="24"/>
          <w:szCs w:val="24"/>
        </w:rPr>
        <w:t>The people's governments at all levels and their relevant departments shall establish mechanisms for the prevention and resolution of environmental and social risks.</w:t>
      </w:r>
    </w:p>
    <w:p w14:paraId="4B7B3E04">
      <w:pPr>
        <w:ind w:firstLine="480" w:firstLineChars="200"/>
        <w:jc w:val="both"/>
        <w:rPr>
          <w:sz w:val="24"/>
          <w:szCs w:val="24"/>
        </w:rPr>
      </w:pPr>
      <w:r>
        <w:rPr>
          <w:b/>
          <w:color w:val="000000" w:themeColor="text1"/>
          <w:sz w:val="24"/>
          <w:szCs w:val="24"/>
          <w14:textFill>
            <w14:solidFill>
              <w14:schemeClr w14:val="tx1"/>
            </w14:solidFill>
          </w14:textFill>
        </w:rPr>
        <w:t>Article 54.</w:t>
      </w:r>
      <w:r>
        <w:rPr>
          <w:sz w:val="24"/>
          <w:szCs w:val="24"/>
        </w:rPr>
        <w:t xml:space="preserve"> The people’s government of the Province shall establish an ecological protection compensation system, implement ecological protection compensation funds, encourage and promote the establishment of diversified ecological compensation mechanisms.</w:t>
      </w:r>
    </w:p>
    <w:p w14:paraId="436036DF">
      <w:pPr>
        <w:ind w:firstLine="480" w:firstLineChars="200"/>
        <w:jc w:val="both"/>
        <w:rPr>
          <w:sz w:val="24"/>
          <w:szCs w:val="24"/>
        </w:rPr>
      </w:pPr>
      <w:r>
        <w:rPr>
          <w:b/>
          <w:color w:val="000000" w:themeColor="text1"/>
          <w:sz w:val="24"/>
          <w:szCs w:val="24"/>
          <w14:textFill>
            <w14:solidFill>
              <w14:schemeClr w14:val="tx1"/>
            </w14:solidFill>
          </w14:textFill>
        </w:rPr>
        <w:t>Article 55.</w:t>
      </w:r>
      <w:r>
        <w:rPr>
          <w:sz w:val="24"/>
          <w:szCs w:val="24"/>
        </w:rPr>
        <w:t xml:space="preserve"> Enterprises, institutions and other producers and operators shall be encouraged and supported to cover the environmental pollution liability insurance in accordance with the relevant provisions of the State.</w:t>
      </w:r>
    </w:p>
    <w:p w14:paraId="5F3FB1FC">
      <w:pPr>
        <w:ind w:firstLine="480" w:firstLineChars="200"/>
        <w:jc w:val="both"/>
        <w:rPr>
          <w:sz w:val="24"/>
          <w:szCs w:val="24"/>
        </w:rPr>
      </w:pPr>
      <w:r>
        <w:rPr>
          <w:b/>
          <w:color w:val="000000" w:themeColor="text1"/>
          <w:sz w:val="24"/>
          <w:szCs w:val="24"/>
          <w14:textFill>
            <w14:solidFill>
              <w14:schemeClr w14:val="tx1"/>
            </w14:solidFill>
          </w14:textFill>
        </w:rPr>
        <w:t>Article 56.</w:t>
      </w:r>
      <w:r>
        <w:rPr>
          <w:sz w:val="24"/>
          <w:szCs w:val="24"/>
        </w:rPr>
        <w:t xml:space="preserve"> The people’s government of the Province shall, in accordance with the relevant provisions of the State, implement the system of property rights for natural resources, the system of paid use of resources, and the system of trading carbon emission rights, pollutant discharging rights and water rights.</w:t>
      </w:r>
    </w:p>
    <w:p w14:paraId="0BB62734">
      <w:pPr>
        <w:ind w:firstLine="480" w:firstLineChars="200"/>
        <w:jc w:val="both"/>
        <w:rPr>
          <w:sz w:val="24"/>
          <w:szCs w:val="24"/>
        </w:rPr>
      </w:pPr>
      <w:r>
        <w:rPr>
          <w:b/>
          <w:color w:val="000000" w:themeColor="text1"/>
          <w:sz w:val="24"/>
          <w:szCs w:val="24"/>
          <w14:textFill>
            <w14:solidFill>
              <w14:schemeClr w14:val="tx1"/>
            </w14:solidFill>
          </w14:textFill>
        </w:rPr>
        <w:t>Article 57.</w:t>
      </w:r>
      <w:r>
        <w:rPr>
          <w:sz w:val="24"/>
          <w:szCs w:val="24"/>
        </w:rPr>
        <w:t xml:space="preserve"> The people's governments at the county level and upwards shall establish a comprehensive law enforcement and supervision system for the ecological environment with clear</w:t>
      </w:r>
      <w:r>
        <w:rPr>
          <w:rFonts w:hint="eastAsia" w:eastAsia="宋体"/>
          <w:sz w:val="24"/>
          <w:szCs w:val="24"/>
          <w:lang w:eastAsia="zh-CN"/>
        </w:rPr>
        <w:t xml:space="preserve"> </w:t>
      </w:r>
      <w:r>
        <w:rPr>
          <w:sz w:val="24"/>
          <w:szCs w:val="24"/>
        </w:rPr>
        <w:t>responsibilities, clear boundaries, norms of conduct, strong protection, efficient operation and vitality, so as to strengthen the construction of law enforcement teams, and enhance the credibility of law enforcement.</w:t>
      </w:r>
    </w:p>
    <w:p w14:paraId="16D28709">
      <w:pPr>
        <w:ind w:firstLine="480" w:firstLineChars="200"/>
        <w:jc w:val="both"/>
        <w:rPr>
          <w:sz w:val="24"/>
          <w:szCs w:val="24"/>
        </w:rPr>
      </w:pPr>
      <w:r>
        <w:rPr>
          <w:sz w:val="24"/>
          <w:szCs w:val="24"/>
        </w:rPr>
        <w:t>The people's governments of Province and cities (prefectures) may, in accordance with the needs of ecological environmental protection, establish joint defense and control mechanisms, and organize relevant departments to carry out joint law enforcement, cross-regional law enforcement and cross-law enforcement.</w:t>
      </w:r>
    </w:p>
    <w:p w14:paraId="4E21C2A0">
      <w:pPr>
        <w:ind w:firstLine="480" w:firstLineChars="200"/>
        <w:jc w:val="both"/>
        <w:rPr>
          <w:sz w:val="24"/>
          <w:szCs w:val="24"/>
        </w:rPr>
      </w:pPr>
      <w:r>
        <w:rPr>
          <w:b/>
          <w:color w:val="000000" w:themeColor="text1"/>
          <w:sz w:val="24"/>
          <w:szCs w:val="24"/>
          <w14:textFill>
            <w14:solidFill>
              <w14:schemeClr w14:val="tx1"/>
            </w14:solidFill>
          </w14:textFill>
        </w:rPr>
        <w:t>Article 58.</w:t>
      </w:r>
      <w:r>
        <w:rPr>
          <w:sz w:val="24"/>
          <w:szCs w:val="24"/>
        </w:rPr>
        <w:t xml:space="preserve"> The Province shall strengthen the joint prevention and control and the information sharing with neighboring provinces and regions, and conduct joint investigation, joint law enforcement and coordinated disposal of cross-regional environmental pollution and ecological damage acts and environmental emergencies. A cross-provincial regional ecological compensation and scientific research cooperation mechanism shall be established to improve the level of regional ecological environment coordination protection.</w:t>
      </w:r>
    </w:p>
    <w:p w14:paraId="49210D88">
      <w:pPr>
        <w:ind w:firstLine="480" w:firstLineChars="200"/>
        <w:jc w:val="both"/>
        <w:rPr>
          <w:sz w:val="24"/>
          <w:szCs w:val="24"/>
        </w:rPr>
      </w:pPr>
      <w:r>
        <w:rPr>
          <w:b/>
          <w:color w:val="000000" w:themeColor="text1"/>
          <w:sz w:val="24"/>
          <w:szCs w:val="24"/>
          <w14:textFill>
            <w14:solidFill>
              <w14:schemeClr w14:val="tx1"/>
            </w14:solidFill>
          </w14:textFill>
        </w:rPr>
        <w:t>Article 59.</w:t>
      </w:r>
      <w:r>
        <w:rPr>
          <w:sz w:val="24"/>
          <w:szCs w:val="24"/>
        </w:rPr>
        <w:t xml:space="preserve"> The administrative department for ecological environment and other departments responsible for the supervision and administration of ecological environment protection shall record the environmental illegal information of enterprises, institutions and other producers and operators in the social integrity files, and disclose to the society in accordance with relevant provisions. The cross-departmental joint reward and punishment mechanism shall be established to implement joint punishment in accordance with laws and regulations.</w:t>
      </w:r>
    </w:p>
    <w:p w14:paraId="58B7A6ED">
      <w:pPr>
        <w:ind w:firstLine="480" w:firstLineChars="200"/>
        <w:jc w:val="both"/>
        <w:rPr>
          <w:sz w:val="24"/>
          <w:szCs w:val="24"/>
        </w:rPr>
      </w:pPr>
      <w:r>
        <w:rPr>
          <w:b/>
          <w:color w:val="000000" w:themeColor="text1"/>
          <w:sz w:val="24"/>
          <w:szCs w:val="24"/>
          <w14:textFill>
            <w14:solidFill>
              <w14:schemeClr w14:val="tx1"/>
            </w14:solidFill>
          </w14:textFill>
        </w:rPr>
        <w:t>Article 60.</w:t>
      </w:r>
      <w:r>
        <w:rPr>
          <w:sz w:val="24"/>
          <w:szCs w:val="24"/>
        </w:rPr>
        <w:t xml:space="preserve"> The administrative department for ecological environment and other departments responsible for the  supervision and  administration of ecological environment protection shall, in accordance with law, establish a mechanism for linking administrative law enforcement with criminal justice with public security organs, people's procuratorates and people's courts.</w:t>
      </w:r>
    </w:p>
    <w:p w14:paraId="754F6ECF">
      <w:pPr>
        <w:ind w:firstLine="480" w:firstLineChars="200"/>
        <w:jc w:val="both"/>
        <w:rPr>
          <w:sz w:val="24"/>
          <w:szCs w:val="24"/>
        </w:rPr>
      </w:pPr>
      <w:r>
        <w:rPr>
          <w:b/>
          <w:color w:val="000000" w:themeColor="text1"/>
          <w:sz w:val="24"/>
          <w:szCs w:val="24"/>
          <w14:textFill>
            <w14:solidFill>
              <w14:schemeClr w14:val="tx1"/>
            </w14:solidFill>
          </w14:textFill>
        </w:rPr>
        <w:t>Article 61.</w:t>
      </w:r>
      <w:r>
        <w:rPr>
          <w:sz w:val="24"/>
          <w:szCs w:val="24"/>
        </w:rPr>
        <w:t xml:space="preserve"> The people's governments at the county level and upwards shall implement the responsibility system for ecological environmental protection objectives as well as the assessment and evaluation system, and take the completion of ecological environmental protection objectives as the content of the assessment and evaluation on the people's governments at all levels and their responsible persons. The results of the examination shall be disclosed to the public.</w:t>
      </w:r>
    </w:p>
    <w:p w14:paraId="6F2AFE34">
      <w:pPr>
        <w:ind w:firstLine="480" w:firstLineChars="200"/>
        <w:jc w:val="both"/>
        <w:rPr>
          <w:sz w:val="24"/>
          <w:szCs w:val="24"/>
        </w:rPr>
      </w:pPr>
      <w:r>
        <w:rPr>
          <w:b/>
          <w:color w:val="000000" w:themeColor="text1"/>
          <w:sz w:val="24"/>
          <w:szCs w:val="24"/>
          <w14:textFill>
            <w14:solidFill>
              <w14:schemeClr w14:val="tx1"/>
            </w14:solidFill>
          </w14:textFill>
        </w:rPr>
        <w:t>Article 62.</w:t>
      </w:r>
      <w:r>
        <w:rPr>
          <w:sz w:val="24"/>
          <w:szCs w:val="24"/>
        </w:rPr>
        <w:t xml:space="preserve"> The people’s government of the Province and its relevant departments shall perform their duties of supervision and administration over ecological environment protection, establish an interview system in accordance with law, and disclose the interview to the public.</w:t>
      </w:r>
    </w:p>
    <w:p w14:paraId="2D9CB4A8">
      <w:pPr>
        <w:ind w:firstLine="480" w:firstLineChars="200"/>
        <w:jc w:val="both"/>
        <w:rPr>
          <w:sz w:val="24"/>
          <w:szCs w:val="24"/>
        </w:rPr>
      </w:pPr>
      <w:r>
        <w:rPr>
          <w:b/>
          <w:color w:val="000000" w:themeColor="text1"/>
          <w:sz w:val="24"/>
          <w:szCs w:val="24"/>
          <w14:textFill>
            <w14:solidFill>
              <w14:schemeClr w14:val="tx1"/>
            </w14:solidFill>
          </w14:textFill>
        </w:rPr>
        <w:t>Article 63.</w:t>
      </w:r>
      <w:r>
        <w:rPr>
          <w:sz w:val="24"/>
          <w:szCs w:val="24"/>
        </w:rPr>
        <w:t xml:space="preserve"> The people’s government of the Province shall establish an outgoing audit system for natural resources assets.</w:t>
      </w:r>
    </w:p>
    <w:p w14:paraId="0635CB53">
      <w:pPr>
        <w:ind w:firstLine="480" w:firstLineChars="200"/>
        <w:jc w:val="both"/>
        <w:rPr>
          <w:sz w:val="24"/>
          <w:szCs w:val="24"/>
        </w:rPr>
      </w:pPr>
      <w:r>
        <w:rPr>
          <w:sz w:val="24"/>
          <w:szCs w:val="24"/>
        </w:rPr>
        <w:t>The people's governments at all levels shall establish a system of responsibility for the protection of ecological environment for the term of office of leading cadres, and shall carry out lifelong responsibility for those who violate the requirements of scientific development and cause serious damage to the ecological environment.</w:t>
      </w:r>
    </w:p>
    <w:p w14:paraId="71513627">
      <w:pPr>
        <w:ind w:firstLine="480" w:firstLineChars="200"/>
        <w:jc w:val="both"/>
        <w:rPr>
          <w:sz w:val="24"/>
          <w:szCs w:val="24"/>
        </w:rPr>
      </w:pPr>
      <w:r>
        <w:rPr>
          <w:b/>
          <w:color w:val="000000" w:themeColor="text1"/>
          <w:sz w:val="24"/>
          <w:szCs w:val="24"/>
          <w14:textFill>
            <w14:solidFill>
              <w14:schemeClr w14:val="tx1"/>
            </w14:solidFill>
          </w14:textFill>
        </w:rPr>
        <w:t>Article 64.</w:t>
      </w:r>
      <w:r>
        <w:rPr>
          <w:sz w:val="24"/>
          <w:szCs w:val="24"/>
        </w:rPr>
        <w:t xml:space="preserve"> The people's governments at the county level and upwards shall report annually to the people's congresses at the corresponding levels or to the standing committees of the people's congresses on the quality of the ecological environment and the completion of the objectives for the protection of ecological environment, report major ecological environment events to the standing committees of the people's congresses at the corresponding levels, and accept supervision in accordance with law.</w:t>
      </w:r>
    </w:p>
    <w:p w14:paraId="3989EDE9">
      <w:pPr>
        <w:ind w:firstLine="480" w:firstLineChars="200"/>
        <w:jc w:val="both"/>
        <w:rPr>
          <w:sz w:val="24"/>
          <w:szCs w:val="24"/>
        </w:rPr>
      </w:pPr>
      <w:r>
        <w:rPr>
          <w:b/>
          <w:color w:val="000000" w:themeColor="text1"/>
          <w:sz w:val="24"/>
          <w:szCs w:val="24"/>
          <w14:textFill>
            <w14:solidFill>
              <w14:schemeClr w14:val="tx1"/>
            </w14:solidFill>
          </w14:textFill>
        </w:rPr>
        <w:t>Article 65.</w:t>
      </w:r>
      <w:r>
        <w:rPr>
          <w:sz w:val="24"/>
          <w:szCs w:val="24"/>
        </w:rPr>
        <w:t xml:space="preserve"> A provincial supervision system for ecological environment protection shall be established in accordance with the relevant provisions of the State to carry out special inspection and supervision in key areas, key fields and key industries, and the responsibilities shall be investigated in accordance with laws and regulations and relevant provisions.</w:t>
      </w:r>
    </w:p>
    <w:p w14:paraId="408156FF">
      <w:pPr>
        <w:ind w:firstLine="480" w:firstLineChars="200"/>
        <w:jc w:val="both"/>
        <w:rPr>
          <w:sz w:val="24"/>
          <w:szCs w:val="24"/>
        </w:rPr>
      </w:pPr>
      <w:r>
        <w:rPr>
          <w:b/>
          <w:color w:val="000000" w:themeColor="text1"/>
          <w:sz w:val="24"/>
          <w:szCs w:val="24"/>
          <w14:textFill>
            <w14:solidFill>
              <w14:schemeClr w14:val="tx1"/>
            </w14:solidFill>
          </w14:textFill>
        </w:rPr>
        <w:t>Article 66.</w:t>
      </w:r>
      <w:r>
        <w:rPr>
          <w:sz w:val="24"/>
          <w:szCs w:val="24"/>
        </w:rPr>
        <w:t xml:space="preserve"> The people's governments at the county level and upwards and their relevant departments shall, in accordance with law, disclose relevant information on ecological environmental protection, promptly and voluntarily disclose outstanding environmental problems involving the vital interests of the masses, and accept the social supervision.</w:t>
      </w:r>
    </w:p>
    <w:p w14:paraId="04CEEB8C">
      <w:pPr>
        <w:jc w:val="both"/>
        <w:rPr>
          <w:sz w:val="24"/>
          <w:szCs w:val="24"/>
        </w:rPr>
      </w:pPr>
    </w:p>
    <w:p w14:paraId="0E871DF5">
      <w:pPr>
        <w:jc w:val="center"/>
        <w:rPr>
          <w:b/>
          <w:bCs/>
          <w:sz w:val="32"/>
          <w:szCs w:val="32"/>
        </w:rPr>
      </w:pPr>
      <w:r>
        <w:rPr>
          <w:b/>
          <w:bCs/>
          <w:sz w:val="32"/>
          <w:szCs w:val="32"/>
        </w:rPr>
        <w:t>Chapter VI  Social Actions</w:t>
      </w:r>
    </w:p>
    <w:p w14:paraId="61070393">
      <w:pPr>
        <w:jc w:val="center"/>
        <w:rPr>
          <w:b/>
          <w:bCs/>
          <w:sz w:val="32"/>
          <w:szCs w:val="32"/>
        </w:rPr>
      </w:pPr>
    </w:p>
    <w:p w14:paraId="2A09A1EA">
      <w:pPr>
        <w:ind w:firstLine="480" w:firstLineChars="200"/>
        <w:jc w:val="both"/>
        <w:rPr>
          <w:sz w:val="24"/>
          <w:szCs w:val="24"/>
        </w:rPr>
      </w:pPr>
      <w:r>
        <w:rPr>
          <w:b/>
          <w:color w:val="000000" w:themeColor="text1"/>
          <w:sz w:val="24"/>
          <w:szCs w:val="24"/>
          <w14:textFill>
            <w14:solidFill>
              <w14:schemeClr w14:val="tx1"/>
            </w14:solidFill>
          </w14:textFill>
        </w:rPr>
        <w:t>Article 67.</w:t>
      </w:r>
      <w:r>
        <w:rPr>
          <w:sz w:val="24"/>
          <w:szCs w:val="24"/>
        </w:rPr>
        <w:t xml:space="preserve"> The people's governments at various levels shall establish an action system for ecological environment protection involving all society’s participation, and carry out ecological environment protection education in the form that urban and rural residents like to see, strengthen the propaganda and popularization of ecological environment protection laws and regulations and ecological environment protection knowledge, enhance the whole society's ecological civilization consciousness.</w:t>
      </w:r>
    </w:p>
    <w:p w14:paraId="59431856">
      <w:pPr>
        <w:ind w:firstLine="480" w:firstLineChars="200"/>
        <w:jc w:val="both"/>
        <w:rPr>
          <w:sz w:val="24"/>
          <w:szCs w:val="24"/>
        </w:rPr>
      </w:pPr>
      <w:r>
        <w:rPr>
          <w:sz w:val="24"/>
          <w:szCs w:val="24"/>
        </w:rPr>
        <w:t>All sectors of society are encouraged to carry out such thematic activities as Earth Day, Environment Day, Wetland Day, Biodiversity Day, Black Earth Conservation Day and National Energy Saving and Water Saving Publicity Week.</w:t>
      </w:r>
    </w:p>
    <w:p w14:paraId="78C51C33">
      <w:pPr>
        <w:ind w:firstLine="480" w:firstLineChars="200"/>
        <w:jc w:val="both"/>
        <w:rPr>
          <w:sz w:val="24"/>
          <w:szCs w:val="24"/>
        </w:rPr>
      </w:pPr>
      <w:r>
        <w:rPr>
          <w:b/>
          <w:color w:val="000000" w:themeColor="text1"/>
          <w:sz w:val="24"/>
          <w:szCs w:val="24"/>
          <w14:textFill>
            <w14:solidFill>
              <w14:schemeClr w14:val="tx1"/>
            </w14:solidFill>
          </w14:textFill>
        </w:rPr>
        <w:t>Article 68.</w:t>
      </w:r>
      <w:r>
        <w:rPr>
          <w:sz w:val="24"/>
          <w:szCs w:val="24"/>
        </w:rPr>
        <w:t xml:space="preserve"> The people's governments at various levels shall strengthen the construction of ecological culture, encourage and guide the study of ecological culture and the creation of ecological cultural works, and build an educational platform for the dissemination of ecological culture, so as to improve the ecological cultural literacy of the whole people.</w:t>
      </w:r>
    </w:p>
    <w:p w14:paraId="421F1642">
      <w:pPr>
        <w:ind w:firstLine="480" w:firstLineChars="200"/>
        <w:jc w:val="both"/>
        <w:rPr>
          <w:sz w:val="24"/>
          <w:szCs w:val="24"/>
        </w:rPr>
      </w:pPr>
      <w:r>
        <w:rPr>
          <w:b/>
          <w:color w:val="000000" w:themeColor="text1"/>
          <w:sz w:val="24"/>
          <w:szCs w:val="24"/>
          <w14:textFill>
            <w14:solidFill>
              <w14:schemeClr w14:val="tx1"/>
            </w14:solidFill>
          </w14:textFill>
        </w:rPr>
        <w:t>Article 69.</w:t>
      </w:r>
      <w:r>
        <w:rPr>
          <w:sz w:val="24"/>
          <w:szCs w:val="24"/>
        </w:rPr>
        <w:t xml:space="preserve"> The people's governments at various levels shall incorporate ecological environment protection into the cadre education and training system.</w:t>
      </w:r>
      <w:r>
        <w:rPr>
          <w:rFonts w:hint="eastAsia" w:eastAsia="宋体"/>
          <w:sz w:val="24"/>
          <w:szCs w:val="24"/>
          <w:lang w:val="en-US" w:eastAsia="zh-CN"/>
        </w:rPr>
        <w:t xml:space="preserve"> </w:t>
      </w:r>
      <w:r>
        <w:rPr>
          <w:sz w:val="24"/>
          <w:szCs w:val="24"/>
        </w:rPr>
        <w:t>The competent education departments and schools shall incorporate the knowledge of ecological environment protection into the teaching contents to cultivate students' awareness of ecological environment protection.</w:t>
      </w:r>
    </w:p>
    <w:p w14:paraId="5B82F1C9">
      <w:pPr>
        <w:ind w:firstLine="480" w:firstLineChars="200"/>
        <w:jc w:val="both"/>
        <w:rPr>
          <w:sz w:val="24"/>
          <w:szCs w:val="24"/>
        </w:rPr>
      </w:pPr>
      <w:r>
        <w:rPr>
          <w:b/>
          <w:color w:val="000000" w:themeColor="text1"/>
          <w:sz w:val="24"/>
          <w:szCs w:val="24"/>
          <w14:textFill>
            <w14:solidFill>
              <w14:schemeClr w14:val="tx1"/>
            </w14:solidFill>
          </w14:textFill>
        </w:rPr>
        <w:t>Article 70.</w:t>
      </w:r>
      <w:r>
        <w:rPr>
          <w:sz w:val="24"/>
          <w:szCs w:val="24"/>
        </w:rPr>
        <w:t xml:space="preserve"> The people's governments at various levels shall advocate green, healthy and civilized production, lifestyle and consumption patterns, advocate green management of the</w:t>
      </w:r>
      <w:r>
        <w:rPr>
          <w:rFonts w:hint="eastAsia" w:eastAsia="宋体"/>
          <w:sz w:val="24"/>
          <w:szCs w:val="24"/>
          <w:lang w:eastAsia="zh-CN"/>
        </w:rPr>
        <w:t xml:space="preserve"> </w:t>
      </w:r>
      <w:r>
        <w:rPr>
          <w:sz w:val="24"/>
          <w:szCs w:val="24"/>
        </w:rPr>
        <w:t>whole life cycle of products, and encourage consumers to purchase and use energy-saving and environmental protective products.</w:t>
      </w:r>
      <w:r>
        <w:rPr>
          <w:rFonts w:hint="eastAsia" w:eastAsia="宋体"/>
          <w:sz w:val="24"/>
          <w:szCs w:val="24"/>
          <w:lang w:val="en-US" w:eastAsia="zh-CN"/>
        </w:rPr>
        <w:t xml:space="preserve"> </w:t>
      </w:r>
      <w:r>
        <w:rPr>
          <w:sz w:val="24"/>
          <w:szCs w:val="24"/>
        </w:rPr>
        <w:t>Government organs, institutions, hospitals, schools and other public institutions shall play a leading role in the use of energy-saving and environmental protective products.</w:t>
      </w:r>
    </w:p>
    <w:p w14:paraId="76EE9857">
      <w:pPr>
        <w:ind w:firstLine="480" w:firstLineChars="200"/>
        <w:jc w:val="both"/>
        <w:rPr>
          <w:sz w:val="24"/>
          <w:szCs w:val="24"/>
        </w:rPr>
      </w:pPr>
      <w:r>
        <w:rPr>
          <w:sz w:val="24"/>
          <w:szCs w:val="24"/>
        </w:rPr>
        <w:t>Citizens shall conscientiously fulfill their obligations to protect the ecological environment, and shall be encouraged to adopt a simple and moderate, green low-carbon, energy conservation and environmental protection lifestyle.</w:t>
      </w:r>
    </w:p>
    <w:p w14:paraId="12969DC8">
      <w:pPr>
        <w:ind w:firstLine="480" w:firstLineChars="200"/>
        <w:jc w:val="both"/>
        <w:rPr>
          <w:sz w:val="24"/>
          <w:szCs w:val="24"/>
        </w:rPr>
      </w:pPr>
      <w:r>
        <w:rPr>
          <w:b/>
          <w:color w:val="000000" w:themeColor="text1"/>
          <w:sz w:val="24"/>
          <w:szCs w:val="24"/>
          <w14:textFill>
            <w14:solidFill>
              <w14:schemeClr w14:val="tx1"/>
            </w14:solidFill>
          </w14:textFill>
        </w:rPr>
        <w:t>Article 71.</w:t>
      </w:r>
      <w:r>
        <w:rPr>
          <w:sz w:val="24"/>
          <w:szCs w:val="24"/>
        </w:rPr>
        <w:t xml:space="preserve"> The people's governments at various levels and their relevant departments shall support all kinds of social organizations and volunteers to participate in public welfare activities for the protection of ecological environment, and encourage social organizations that comply with the provisions of the law to carry out environmental public welfare litigation according to law.</w:t>
      </w:r>
    </w:p>
    <w:p w14:paraId="368A6A84">
      <w:pPr>
        <w:ind w:firstLine="480" w:firstLineChars="200"/>
        <w:jc w:val="both"/>
        <w:rPr>
          <w:sz w:val="24"/>
          <w:szCs w:val="24"/>
        </w:rPr>
      </w:pPr>
      <w:r>
        <w:rPr>
          <w:b/>
          <w:color w:val="000000" w:themeColor="text1"/>
          <w:sz w:val="24"/>
          <w:szCs w:val="24"/>
          <w14:textFill>
            <w14:solidFill>
              <w14:schemeClr w14:val="tx1"/>
            </w14:solidFill>
          </w14:textFill>
        </w:rPr>
        <w:t>Article 72.</w:t>
      </w:r>
      <w:r>
        <w:rPr>
          <w:sz w:val="24"/>
          <w:szCs w:val="24"/>
        </w:rPr>
        <w:t xml:space="preserve"> The people's governments at the county level and upwards and their relevant departments shall establish an ecological environment press release mechanism to respond to social concerns in a timely manner.</w:t>
      </w:r>
    </w:p>
    <w:p w14:paraId="6B02002D">
      <w:pPr>
        <w:ind w:firstLine="480" w:firstLineChars="200"/>
        <w:jc w:val="both"/>
        <w:rPr>
          <w:sz w:val="24"/>
          <w:szCs w:val="24"/>
        </w:rPr>
      </w:pPr>
      <w:r>
        <w:rPr>
          <w:sz w:val="24"/>
          <w:szCs w:val="24"/>
        </w:rPr>
        <w:t>The news media shall carry out the propaganda on the laws, regulations and knowledge of ecological environment protection, and supervise the illegal behaviors of ecological environment by public opinion.</w:t>
      </w:r>
    </w:p>
    <w:p w14:paraId="256E606A">
      <w:pPr>
        <w:ind w:firstLine="480" w:firstLineChars="200"/>
        <w:jc w:val="both"/>
        <w:rPr>
          <w:sz w:val="24"/>
          <w:szCs w:val="24"/>
        </w:rPr>
      </w:pPr>
      <w:r>
        <w:rPr>
          <w:b/>
          <w:color w:val="000000" w:themeColor="text1"/>
          <w:sz w:val="24"/>
          <w:szCs w:val="24"/>
          <w14:textFill>
            <w14:solidFill>
              <w14:schemeClr w14:val="tx1"/>
            </w14:solidFill>
          </w14:textFill>
        </w:rPr>
        <w:t>Article 73.</w:t>
      </w:r>
      <w:r>
        <w:rPr>
          <w:sz w:val="24"/>
          <w:szCs w:val="24"/>
        </w:rPr>
        <w:t xml:space="preserve"> The people's governments at the county level and upwards shall improve the mechanism of public complaints and reports, and guarantee the public's right to access ecological environment information, participate in and supervise the protection of ecological environment in accordance with law.</w:t>
      </w:r>
    </w:p>
    <w:p w14:paraId="4A24EBDF">
      <w:pPr>
        <w:jc w:val="both"/>
        <w:rPr>
          <w:sz w:val="24"/>
          <w:szCs w:val="24"/>
        </w:rPr>
      </w:pPr>
    </w:p>
    <w:p w14:paraId="45334748">
      <w:pPr>
        <w:jc w:val="center"/>
        <w:rPr>
          <w:b/>
          <w:bCs/>
          <w:sz w:val="32"/>
          <w:szCs w:val="32"/>
        </w:rPr>
      </w:pPr>
      <w:r>
        <w:rPr>
          <w:b/>
          <w:bCs/>
          <w:sz w:val="32"/>
          <w:szCs w:val="32"/>
        </w:rPr>
        <w:t>Chapter VII</w:t>
      </w:r>
      <w:r>
        <w:rPr>
          <w:rFonts w:hint="eastAsia" w:eastAsia="宋体"/>
          <w:b/>
          <w:bCs/>
          <w:sz w:val="32"/>
          <w:szCs w:val="32"/>
          <w:lang w:eastAsia="zh-CN"/>
        </w:rPr>
        <w:t xml:space="preserve"> </w:t>
      </w:r>
      <w:r>
        <w:rPr>
          <w:b/>
          <w:bCs/>
          <w:sz w:val="32"/>
          <w:szCs w:val="32"/>
        </w:rPr>
        <w:t xml:space="preserve"> Legal Liabilities</w:t>
      </w:r>
    </w:p>
    <w:p w14:paraId="161A9D60">
      <w:pPr>
        <w:jc w:val="center"/>
        <w:rPr>
          <w:b/>
          <w:bCs/>
          <w:sz w:val="32"/>
          <w:szCs w:val="32"/>
        </w:rPr>
      </w:pPr>
    </w:p>
    <w:p w14:paraId="19E5981F">
      <w:pPr>
        <w:ind w:firstLine="480" w:firstLineChars="200"/>
        <w:jc w:val="both"/>
        <w:rPr>
          <w:sz w:val="24"/>
          <w:szCs w:val="24"/>
        </w:rPr>
      </w:pPr>
      <w:r>
        <w:rPr>
          <w:b/>
          <w:color w:val="000000" w:themeColor="text1"/>
          <w:sz w:val="24"/>
          <w:szCs w:val="24"/>
          <w14:textFill>
            <w14:solidFill>
              <w14:schemeClr w14:val="tx1"/>
            </w14:solidFill>
          </w14:textFill>
        </w:rPr>
        <w:t>Article 74.</w:t>
      </w:r>
      <w:r>
        <w:rPr>
          <w:sz w:val="24"/>
          <w:szCs w:val="24"/>
        </w:rPr>
        <w:t xml:space="preserve"> For violation against the provisions of these Regulations, the laws or administrative regulations that prescribe administrative penalties shall apply; where a crime is constituted, criminal responsibility shall be investigated in accordance with law.</w:t>
      </w:r>
    </w:p>
    <w:p w14:paraId="3F95BC30">
      <w:pPr>
        <w:ind w:firstLine="480" w:firstLineChars="200"/>
        <w:jc w:val="both"/>
        <w:rPr>
          <w:bCs/>
          <w:sz w:val="24"/>
          <w:szCs w:val="24"/>
        </w:rPr>
      </w:pPr>
      <w:r>
        <w:rPr>
          <w:b/>
          <w:color w:val="000000" w:themeColor="text1"/>
          <w:sz w:val="24"/>
          <w:szCs w:val="24"/>
          <w14:textFill>
            <w14:solidFill>
              <w14:schemeClr w14:val="tx1"/>
            </w14:solidFill>
          </w14:textFill>
        </w:rPr>
        <w:t>Article 75.</w:t>
      </w:r>
      <w:r>
        <w:rPr>
          <w:sz w:val="24"/>
          <w:szCs w:val="24"/>
        </w:rPr>
        <w:t xml:space="preserve"> If, in violation of the provisions of </w:t>
      </w:r>
      <w:r>
        <w:rPr>
          <w:bCs/>
          <w:color w:val="000000" w:themeColor="text1"/>
          <w:sz w:val="24"/>
          <w:szCs w:val="24"/>
          <w14:textFill>
            <w14:solidFill>
              <w14:schemeClr w14:val="tx1"/>
            </w14:solidFill>
          </w14:textFill>
        </w:rPr>
        <w:t>Article 35, paragraph 1, of these Regulations,  a construction entity starts construction without approved environmental impact statement or report in accordance with law, the administrative department for ecological environment shall instruct it to stop construction, and shall, in the light of the circumstances of the violation and the harmful consequences, impose a fine of not less than 1% but not more than 5% of the total investment on the construction project, and may instruct to restore to its original state; the person in charge and</w:t>
      </w:r>
      <w:r>
        <w:rPr>
          <w:rFonts w:hint="eastAsia" w:eastAsia="宋体"/>
          <w:bCs/>
          <w:color w:val="000000" w:themeColor="text1"/>
          <w:sz w:val="24"/>
          <w:szCs w:val="24"/>
          <w:lang w:val="en-US" w:eastAsia="zh-CN"/>
          <w14:textFill>
            <w14:solidFill>
              <w14:schemeClr w14:val="tx1"/>
            </w14:solidFill>
          </w14:textFill>
        </w:rPr>
        <w:t xml:space="preserve"> </w:t>
      </w:r>
      <w:r>
        <w:rPr>
          <w:bCs/>
          <w:color w:val="000000" w:themeColor="text1"/>
          <w:sz w:val="24"/>
          <w:szCs w:val="24"/>
          <w14:textFill>
            <w14:solidFill>
              <w14:schemeClr w14:val="tx1"/>
            </w14:solidFill>
          </w14:textFill>
        </w:rPr>
        <w:t>other persons directly responsible for the construction entity shall be punished in accordance with law.</w:t>
      </w:r>
    </w:p>
    <w:p w14:paraId="3DBA0F0B">
      <w:pPr>
        <w:ind w:firstLine="480" w:firstLineChars="200"/>
        <w:jc w:val="both"/>
        <w:rPr>
          <w:bCs/>
          <w:sz w:val="24"/>
          <w:szCs w:val="24"/>
        </w:rPr>
      </w:pPr>
      <w:r>
        <w:rPr>
          <w:b/>
          <w:color w:val="000000" w:themeColor="text1"/>
          <w:sz w:val="24"/>
          <w:szCs w:val="24"/>
          <w14:textFill>
            <w14:solidFill>
              <w14:schemeClr w14:val="tx1"/>
            </w14:solidFill>
          </w14:textFill>
        </w:rPr>
        <w:t>Article 76.</w:t>
      </w:r>
      <w:r>
        <w:rPr>
          <w:sz w:val="24"/>
          <w:szCs w:val="24"/>
        </w:rPr>
        <w:t xml:space="preserve"> If, in violation of the provisions of </w:t>
      </w:r>
      <w:r>
        <w:rPr>
          <w:bCs/>
          <w:color w:val="000000" w:themeColor="text1"/>
          <w:sz w:val="24"/>
          <w:szCs w:val="24"/>
          <w14:textFill>
            <w14:solidFill>
              <w14:schemeClr w14:val="tx1"/>
            </w14:solidFill>
          </w14:textFill>
        </w:rPr>
        <w:t xml:space="preserve">Article 36, paragraphs 2 and 3, of these Regulations, a construction project is put into production or use with the environmental protection facility that needs to be built not completed, not examined for acceptance or not accepted, the administrative department for ecological environment shall instruct it to make corrections within a time limit and impose a fine of not less than </w:t>
      </w:r>
      <w:r>
        <w:rPr>
          <w:rFonts w:hint="eastAsia" w:eastAsia="宋体"/>
          <w:bCs/>
          <w:color w:val="000000" w:themeColor="text1"/>
          <w:sz w:val="24"/>
          <w:szCs w:val="24"/>
          <w:lang w:val="en-US" w:eastAsia="zh-CN"/>
          <w14:textFill>
            <w14:solidFill>
              <w14:schemeClr w14:val="tx1"/>
            </w14:solidFill>
          </w14:textFill>
        </w:rPr>
        <w:t>CNY</w:t>
      </w:r>
      <w:r>
        <w:rPr>
          <w:bCs/>
          <w:color w:val="000000" w:themeColor="text1"/>
          <w:sz w:val="24"/>
          <w:szCs w:val="24"/>
          <w14:textFill>
            <w14:solidFill>
              <w14:schemeClr w14:val="tx1"/>
            </w14:solidFill>
          </w14:textFill>
        </w:rPr>
        <w:t xml:space="preserve">200,000 but not more than 1 million yuan; if it fails to make corrections within the time limit, a fine of not less than 1 million yuan but not more than 2 million yuan shall be imposed; and a fine of not less than </w:t>
      </w:r>
      <w:r>
        <w:rPr>
          <w:rFonts w:hint="eastAsia" w:eastAsia="宋体"/>
          <w:bCs/>
          <w:color w:val="000000" w:themeColor="text1"/>
          <w:sz w:val="24"/>
          <w:szCs w:val="24"/>
          <w:lang w:val="en-US" w:eastAsia="zh-CN"/>
          <w14:textFill>
            <w14:solidFill>
              <w14:schemeClr w14:val="tx1"/>
            </w14:solidFill>
          </w14:textFill>
        </w:rPr>
        <w:t>CNY</w:t>
      </w:r>
      <w:r>
        <w:rPr>
          <w:bCs/>
          <w:color w:val="000000" w:themeColor="text1"/>
          <w:sz w:val="24"/>
          <w:szCs w:val="24"/>
          <w14:textFill>
            <w14:solidFill>
              <w14:schemeClr w14:val="tx1"/>
            </w14:solidFill>
          </w14:textFill>
        </w:rPr>
        <w:t>50,000 but not more than</w:t>
      </w:r>
      <w:r>
        <w:rPr>
          <w:rFonts w:hint="eastAsia" w:eastAsia="宋体"/>
          <w:bCs/>
          <w:color w:val="000000" w:themeColor="text1"/>
          <w:sz w:val="24"/>
          <w:szCs w:val="24"/>
          <w:lang w:val="en-US" w:eastAsia="zh-CN"/>
          <w14:textFill>
            <w14:solidFill>
              <w14:schemeClr w14:val="tx1"/>
            </w14:solidFill>
          </w14:textFill>
        </w:rPr>
        <w:t xml:space="preserve"> CNY</w:t>
      </w:r>
      <w:r>
        <w:rPr>
          <w:bCs/>
          <w:color w:val="000000" w:themeColor="text1"/>
          <w:sz w:val="24"/>
          <w:szCs w:val="24"/>
          <w14:textFill>
            <w14:solidFill>
              <w14:schemeClr w14:val="tx1"/>
            </w14:solidFill>
          </w14:textFill>
        </w:rPr>
        <w:t xml:space="preserve"> 200,000 shall be imposed on the person in charge and other responsible persons; where major environmental pollution or ecological damage is caused, it shall be instructed to stop production  or use, or shall be instructed to close down upon the approval of the people's government with the power of approval.</w:t>
      </w:r>
    </w:p>
    <w:p w14:paraId="1FB9B3CB">
      <w:pPr>
        <w:ind w:firstLine="480" w:firstLineChars="200"/>
        <w:jc w:val="both"/>
        <w:rPr>
          <w:color w:val="000000" w:themeColor="text1"/>
          <w:sz w:val="24"/>
          <w:szCs w:val="24"/>
          <w14:textFill>
            <w14:solidFill>
              <w14:schemeClr w14:val="tx1"/>
            </w14:solidFill>
          </w14:textFill>
        </w:rPr>
      </w:pPr>
      <w:r>
        <w:rPr>
          <w:b/>
          <w:color w:val="000000" w:themeColor="text1"/>
          <w:sz w:val="24"/>
          <w:szCs w:val="24"/>
          <w14:textFill>
            <w14:solidFill>
              <w14:schemeClr w14:val="tx1"/>
            </w14:solidFill>
          </w14:textFill>
        </w:rPr>
        <w:t>Article 77.</w:t>
      </w:r>
      <w:r>
        <w:rPr>
          <w:sz w:val="24"/>
          <w:szCs w:val="24"/>
        </w:rPr>
        <w:t xml:space="preserve"> Where, in violation of the provisions of </w:t>
      </w:r>
      <w:r>
        <w:rPr>
          <w:color w:val="000000" w:themeColor="text1"/>
          <w:sz w:val="24"/>
          <w:szCs w:val="24"/>
          <w14:textFill>
            <w14:solidFill>
              <w14:schemeClr w14:val="tx1"/>
            </w14:solidFill>
          </w14:textFill>
        </w:rPr>
        <w:t>Article 39 of these Regulations, a  key pollutant discharging entity commits any of the following acts, it shall be instructed by the administrative department for ecological environment to make corrections and fined not less than</w:t>
      </w:r>
      <w:r>
        <w:rPr>
          <w:rFonts w:hint="eastAsia" w:eastAsia="宋体"/>
          <w:color w:val="000000" w:themeColor="text1"/>
          <w:sz w:val="24"/>
          <w:szCs w:val="24"/>
          <w:lang w:val="en-US" w:eastAsia="zh-CN"/>
          <w14:textFill>
            <w14:solidFill>
              <w14:schemeClr w14:val="tx1"/>
            </w14:solidFill>
          </w14:textFill>
        </w:rPr>
        <w:t xml:space="preserve"> CNY</w:t>
      </w:r>
      <w:r>
        <w:rPr>
          <w:color w:val="000000" w:themeColor="text1"/>
          <w:sz w:val="24"/>
          <w:szCs w:val="24"/>
          <w14:textFill>
            <w14:solidFill>
              <w14:schemeClr w14:val="tx1"/>
            </w14:solidFill>
          </w14:textFill>
        </w:rPr>
        <w:t xml:space="preserve"> 20,000 but not more than </w:t>
      </w:r>
      <w:r>
        <w:rPr>
          <w:rFonts w:hint="eastAsia" w:eastAsia="宋体"/>
          <w:color w:val="000000" w:themeColor="text1"/>
          <w:sz w:val="24"/>
          <w:szCs w:val="24"/>
          <w:lang w:val="en-US" w:eastAsia="zh-CN"/>
          <w14:textFill>
            <w14:solidFill>
              <w14:schemeClr w14:val="tx1"/>
            </w14:solidFill>
          </w14:textFill>
        </w:rPr>
        <w:t>CNY</w:t>
      </w:r>
      <w:r>
        <w:rPr>
          <w:color w:val="000000" w:themeColor="text1"/>
          <w:sz w:val="24"/>
          <w:szCs w:val="24"/>
          <w14:textFill>
            <w14:solidFill>
              <w14:schemeClr w14:val="tx1"/>
            </w14:solidFill>
          </w14:textFill>
        </w:rPr>
        <w:t>200,000; if it refuses to make corrections, it shall be instructed to suspend production and rectify:</w:t>
      </w:r>
    </w:p>
    <w:p w14:paraId="69F97935">
      <w:pPr>
        <w:ind w:firstLine="480" w:firstLineChars="200"/>
        <w:jc w:val="both"/>
        <w:rPr>
          <w:color w:val="000000" w:themeColor="text1"/>
          <w:sz w:val="24"/>
          <w:szCs w:val="24"/>
          <w14:textFill>
            <w14:solidFill>
              <w14:schemeClr w14:val="tx1"/>
            </w14:solidFill>
          </w14:textFill>
        </w:rPr>
      </w:pPr>
      <w:r>
        <w:rPr>
          <w:rFonts w:hint="eastAsia" w:eastAsia="宋体"/>
          <w:color w:val="000000" w:themeColor="text1"/>
          <w:sz w:val="24"/>
          <w:szCs w:val="24"/>
          <w:lang w:eastAsia="zh-CN"/>
          <w14:textFill>
            <w14:solidFill>
              <w14:schemeClr w14:val="tx1"/>
            </w14:solidFill>
          </w14:textFill>
        </w:rPr>
        <w:t>(1)</w:t>
      </w:r>
      <w:r>
        <w:rPr>
          <w:color w:val="000000" w:themeColor="text1"/>
          <w:sz w:val="24"/>
          <w:szCs w:val="24"/>
          <w14:textFill>
            <w14:solidFill>
              <w14:schemeClr w14:val="tx1"/>
            </w14:solidFill>
          </w14:textFill>
        </w:rPr>
        <w:t>Failing to install or use automatic monitoring equipment for pollutant discharge in accordance with regulations, or failing to connect with the administrative department for ecological environment in accordance with regulations and to ensure the normal operation of automatic monitoring equipment;</w:t>
      </w:r>
    </w:p>
    <w:p w14:paraId="3128B141">
      <w:pPr>
        <w:ind w:firstLine="480" w:firstLineChars="200"/>
        <w:jc w:val="both"/>
        <w:rPr>
          <w:sz w:val="24"/>
          <w:szCs w:val="24"/>
        </w:rPr>
      </w:pPr>
      <w:r>
        <w:rPr>
          <w:rFonts w:hint="eastAsia" w:eastAsia="宋体"/>
          <w:color w:val="000000" w:themeColor="text1"/>
          <w:sz w:val="24"/>
          <w:szCs w:val="24"/>
          <w:lang w:eastAsia="zh-CN"/>
          <w14:textFill>
            <w14:solidFill>
              <w14:schemeClr w14:val="tx1"/>
            </w14:solidFill>
          </w14:textFill>
        </w:rPr>
        <w:t>(2)</w:t>
      </w:r>
      <w:r>
        <w:rPr>
          <w:color w:val="000000" w:themeColor="text1"/>
          <w:sz w:val="24"/>
          <w:szCs w:val="24"/>
          <w14:textFill>
            <w14:solidFill>
              <w14:schemeClr w14:val="tx1"/>
            </w14:solidFill>
          </w14:textFill>
        </w:rPr>
        <w:t>Failing to carry out manual monitoring and keep original monitoring records in accordance with regulations.</w:t>
      </w:r>
    </w:p>
    <w:p w14:paraId="5844ABBC">
      <w:pPr>
        <w:ind w:firstLine="480" w:firstLineChars="200"/>
        <w:jc w:val="both"/>
        <w:rPr>
          <w:sz w:val="24"/>
          <w:szCs w:val="24"/>
        </w:rPr>
      </w:pPr>
      <w:r>
        <w:rPr>
          <w:b/>
          <w:color w:val="000000" w:themeColor="text1"/>
          <w:sz w:val="24"/>
          <w:szCs w:val="24"/>
          <w14:textFill>
            <w14:solidFill>
              <w14:schemeClr w14:val="tx1"/>
            </w14:solidFill>
          </w14:textFill>
        </w:rPr>
        <w:t>Article 78.</w:t>
      </w:r>
      <w:r>
        <w:rPr>
          <w:sz w:val="24"/>
          <w:szCs w:val="24"/>
        </w:rPr>
        <w:t xml:space="preserve"> Where, in violation of the provisions of </w:t>
      </w:r>
      <w:r>
        <w:rPr>
          <w:color w:val="000000" w:themeColor="text1"/>
          <w:sz w:val="24"/>
          <w:szCs w:val="24"/>
          <w14:textFill>
            <w14:solidFill>
              <w14:schemeClr w14:val="tx1"/>
            </w14:solidFill>
          </w14:textFill>
        </w:rPr>
        <w:t xml:space="preserve">Article 41 of these regulations, a key pollutant discharging entity fails to disclose or fails to truthfully disclose environmental information in accordance with law, the administrative department for ecological environment shall order the disclosure, impose a fine of not less than </w:t>
      </w:r>
      <w:r>
        <w:rPr>
          <w:rFonts w:hint="eastAsia" w:eastAsia="宋体"/>
          <w:color w:val="000000" w:themeColor="text1"/>
          <w:sz w:val="24"/>
          <w:szCs w:val="24"/>
          <w:lang w:val="en-US" w:eastAsia="zh-CN"/>
          <w14:textFill>
            <w14:solidFill>
              <w14:schemeClr w14:val="tx1"/>
            </w14:solidFill>
          </w14:textFill>
        </w:rPr>
        <w:t>CNY</w:t>
      </w:r>
      <w:r>
        <w:rPr>
          <w:color w:val="000000" w:themeColor="text1"/>
          <w:sz w:val="24"/>
          <w:szCs w:val="24"/>
          <w14:textFill>
            <w14:solidFill>
              <w14:schemeClr w14:val="tx1"/>
            </w14:solidFill>
          </w14:textFill>
        </w:rPr>
        <w:t>10,000 but not more than</w:t>
      </w:r>
      <w:r>
        <w:rPr>
          <w:rFonts w:hint="eastAsia" w:eastAsia="宋体"/>
          <w:color w:val="000000" w:themeColor="text1"/>
          <w:sz w:val="24"/>
          <w:szCs w:val="24"/>
          <w:lang w:val="en-US" w:eastAsia="zh-CN"/>
          <w14:textFill>
            <w14:solidFill>
              <w14:schemeClr w14:val="tx1"/>
            </w14:solidFill>
          </w14:textFill>
        </w:rPr>
        <w:t xml:space="preserve"> CNY</w:t>
      </w:r>
      <w:r>
        <w:rPr>
          <w:color w:val="000000" w:themeColor="text1"/>
          <w:sz w:val="24"/>
          <w:szCs w:val="24"/>
          <w14:textFill>
            <w14:solidFill>
              <w14:schemeClr w14:val="tx1"/>
            </w14:solidFill>
          </w14:textFill>
        </w:rPr>
        <w:t xml:space="preserve"> 30,000, and make a public announcement.</w:t>
      </w:r>
    </w:p>
    <w:p w14:paraId="0B92B5F5">
      <w:pPr>
        <w:ind w:firstLine="480" w:firstLineChars="200"/>
        <w:jc w:val="both"/>
        <w:rPr>
          <w:sz w:val="24"/>
          <w:szCs w:val="24"/>
        </w:rPr>
      </w:pPr>
      <w:r>
        <w:rPr>
          <w:b/>
          <w:color w:val="000000" w:themeColor="text1"/>
          <w:sz w:val="24"/>
          <w:szCs w:val="24"/>
          <w14:textFill>
            <w14:solidFill>
              <w14:schemeClr w14:val="tx1"/>
            </w14:solidFill>
          </w14:textFill>
        </w:rPr>
        <w:t>Article 79.</w:t>
      </w:r>
      <w:r>
        <w:rPr>
          <w:sz w:val="24"/>
          <w:szCs w:val="24"/>
        </w:rPr>
        <w:t xml:space="preserve"> Where, in violation of the provisions of </w:t>
      </w:r>
      <w:r>
        <w:rPr>
          <w:color w:val="000000" w:themeColor="text1"/>
          <w:sz w:val="24"/>
          <w:szCs w:val="24"/>
          <w14:textFill>
            <w14:solidFill>
              <w14:schemeClr w14:val="tx1"/>
            </w14:solidFill>
          </w14:textFill>
        </w:rPr>
        <w:t>Article 42 of these Regulations, an enterprise or institution fails to formulate emergency plans for sudden ecological environmental events in accordance with law, or fails to initiate emergency plans for sudden ecological environmental events in a timely manner after the occurrence of sudden ecological environmental events, the administrative department for ecological environment shall instruct the correction; where the circumstances are serious, a fine of not less than</w:t>
      </w:r>
      <w:r>
        <w:rPr>
          <w:rFonts w:hint="eastAsia" w:eastAsia="宋体"/>
          <w:color w:val="000000" w:themeColor="text1"/>
          <w:sz w:val="24"/>
          <w:szCs w:val="24"/>
          <w:lang w:val="en-US" w:eastAsia="zh-CN"/>
          <w14:textFill>
            <w14:solidFill>
              <w14:schemeClr w14:val="tx1"/>
            </w14:solidFill>
          </w14:textFill>
        </w:rPr>
        <w:t xml:space="preserve"> CNY</w:t>
      </w:r>
      <w:r>
        <w:rPr>
          <w:color w:val="000000" w:themeColor="text1"/>
          <w:sz w:val="24"/>
          <w:szCs w:val="24"/>
          <w14:textFill>
            <w14:solidFill>
              <w14:schemeClr w14:val="tx1"/>
            </w14:solidFill>
          </w14:textFill>
        </w:rPr>
        <w:t xml:space="preserve"> 20,000 but not more than </w:t>
      </w:r>
      <w:r>
        <w:rPr>
          <w:rFonts w:hint="eastAsia" w:eastAsia="宋体"/>
          <w:color w:val="000000" w:themeColor="text1"/>
          <w:sz w:val="24"/>
          <w:szCs w:val="24"/>
          <w:lang w:val="en-US" w:eastAsia="zh-CN"/>
          <w14:textFill>
            <w14:solidFill>
              <w14:schemeClr w14:val="tx1"/>
            </w14:solidFill>
          </w14:textFill>
        </w:rPr>
        <w:t>CNY</w:t>
      </w:r>
      <w:r>
        <w:rPr>
          <w:color w:val="000000" w:themeColor="text1"/>
          <w:sz w:val="24"/>
          <w:szCs w:val="24"/>
          <w14:textFill>
            <w14:solidFill>
              <w14:schemeClr w14:val="tx1"/>
            </w14:solidFill>
          </w14:textFill>
        </w:rPr>
        <w:t>100,000 shall be imposed.</w:t>
      </w:r>
    </w:p>
    <w:p w14:paraId="61619474">
      <w:pPr>
        <w:ind w:firstLine="480" w:firstLineChars="200"/>
        <w:jc w:val="both"/>
        <w:rPr>
          <w:sz w:val="24"/>
          <w:szCs w:val="24"/>
        </w:rPr>
      </w:pPr>
      <w:r>
        <w:rPr>
          <w:b/>
          <w:color w:val="000000" w:themeColor="text1"/>
          <w:sz w:val="24"/>
          <w:szCs w:val="24"/>
          <w14:textFill>
            <w14:solidFill>
              <w14:schemeClr w14:val="tx1"/>
            </w14:solidFill>
          </w14:textFill>
        </w:rPr>
        <w:t>Article 80.</w:t>
      </w:r>
      <w:r>
        <w:rPr>
          <w:sz w:val="24"/>
          <w:szCs w:val="24"/>
        </w:rPr>
        <w:t xml:space="preserve"> Where, in violation of the provisions of </w:t>
      </w:r>
      <w:r>
        <w:rPr>
          <w:color w:val="000000" w:themeColor="text1"/>
          <w:sz w:val="24"/>
          <w:szCs w:val="24"/>
          <w14:textFill>
            <w14:solidFill>
              <w14:schemeClr w14:val="tx1"/>
            </w14:solidFill>
          </w14:textFill>
        </w:rPr>
        <w:t>Article 43, paragraph 2, of these Regulations, the entrusted environmental impact assessment institution, environmental monitoring institution or institution engaged in the maintenance and operation of environmental monitoring equipment and pollution prevention facilities engages in fraud in activities related to environmental</w:t>
      </w:r>
      <w:r>
        <w:rPr>
          <w:rFonts w:hint="eastAsia" w:eastAsia="宋体"/>
          <w:color w:val="000000" w:themeColor="text1"/>
          <w:sz w:val="24"/>
          <w:szCs w:val="24"/>
          <w:lang w:eastAsia="zh-CN"/>
          <w14:textFill>
            <w14:solidFill>
              <w14:schemeClr w14:val="tx1"/>
            </w14:solidFill>
          </w14:textFill>
        </w:rPr>
        <w:t xml:space="preserve"> </w:t>
      </w:r>
      <w:r>
        <w:rPr>
          <w:color w:val="000000" w:themeColor="text1"/>
          <w:sz w:val="24"/>
          <w:szCs w:val="24"/>
          <w14:textFill>
            <w14:solidFill>
              <w14:schemeClr w14:val="tx1"/>
            </w14:solidFill>
          </w14:textFill>
        </w:rPr>
        <w:t>services, who shall be responsible for environmental pollution and ecological damage, shall bear joint and several liability with other persons responsible for environmental pollution and ecological damage, in addition to the punishment in accordance with the relevant laws and regulations.</w:t>
      </w:r>
    </w:p>
    <w:p w14:paraId="33C3C231">
      <w:pPr>
        <w:ind w:firstLine="480" w:firstLineChars="200"/>
        <w:jc w:val="both"/>
        <w:rPr>
          <w:sz w:val="24"/>
          <w:szCs w:val="24"/>
        </w:rPr>
      </w:pPr>
      <w:r>
        <w:rPr>
          <w:b/>
          <w:color w:val="000000" w:themeColor="text1"/>
          <w:sz w:val="24"/>
          <w:szCs w:val="24"/>
          <w14:textFill>
            <w14:solidFill>
              <w14:schemeClr w14:val="tx1"/>
            </w14:solidFill>
          </w14:textFill>
        </w:rPr>
        <w:t>Article 81.</w:t>
      </w:r>
      <w:r>
        <w:rPr>
          <w:sz w:val="24"/>
          <w:szCs w:val="24"/>
        </w:rPr>
        <w:t xml:space="preserve"> Where, in violation of the provisions of </w:t>
      </w:r>
      <w:r>
        <w:rPr>
          <w:color w:val="000000" w:themeColor="text1"/>
          <w:sz w:val="24"/>
          <w:szCs w:val="24"/>
          <w14:textFill>
            <w14:solidFill>
              <w14:schemeClr w14:val="tx1"/>
            </w14:solidFill>
          </w14:textFill>
        </w:rPr>
        <w:t>Article 49 of these Regulations, a planning formulation organ fails to organize an environmental impact assessment, or commits fraud or dereliction of duty in organizing an environmental impact assessment, resulting in serious inaccuracy of the environmental impact assessment, the person in charge and other persons directly responsible shall be punished by the higher authorities or supervisory organs in accordance with law.</w:t>
      </w:r>
    </w:p>
    <w:p w14:paraId="4B2E6C48">
      <w:pPr>
        <w:ind w:firstLine="480" w:firstLineChars="200"/>
        <w:jc w:val="both"/>
        <w:rPr>
          <w:sz w:val="24"/>
          <w:szCs w:val="24"/>
        </w:rPr>
      </w:pPr>
      <w:r>
        <w:rPr>
          <w:b/>
          <w:color w:val="000000" w:themeColor="text1"/>
          <w:sz w:val="24"/>
          <w:szCs w:val="24"/>
          <w14:textFill>
            <w14:solidFill>
              <w14:schemeClr w14:val="tx1"/>
            </w14:solidFill>
          </w14:textFill>
        </w:rPr>
        <w:t>Article 82.</w:t>
      </w:r>
      <w:r>
        <w:rPr>
          <w:sz w:val="24"/>
          <w:szCs w:val="24"/>
        </w:rPr>
        <w:t xml:space="preserve"> Where an enterprise, institution or other production and business operator illegally discharges pollutants, is fined, punished, and instructed to make corrections, but refuses to make corrections, the administrative organ that makes a decision on punishment in accordance with law shall, in accordance with the laws and regulations and the relevant provisions of the State, punish continuously in accordance with the amount of the original penalty from next day on which the correction is instructed.</w:t>
      </w:r>
    </w:p>
    <w:p w14:paraId="7545C6FC">
      <w:pPr>
        <w:ind w:firstLine="480" w:firstLineChars="200"/>
        <w:jc w:val="both"/>
        <w:rPr>
          <w:sz w:val="24"/>
          <w:szCs w:val="24"/>
        </w:rPr>
      </w:pPr>
      <w:r>
        <w:rPr>
          <w:b/>
          <w:color w:val="000000" w:themeColor="text1"/>
          <w:sz w:val="24"/>
          <w:szCs w:val="24"/>
          <w14:textFill>
            <w14:solidFill>
              <w14:schemeClr w14:val="tx1"/>
            </w14:solidFill>
          </w14:textFill>
        </w:rPr>
        <w:t>Article 83.</w:t>
      </w:r>
      <w:r>
        <w:rPr>
          <w:sz w:val="24"/>
          <w:szCs w:val="24"/>
        </w:rPr>
        <w:t xml:space="preserve"> The people's governments at higher levels and their competent departments for ecological environment shall strengthen supervision over the ecological environment work of the people's governments at lower levels and their relevant departments. If the relevant staff member is found to have committed an illegal act and shall be punished in accordance with law, a disciplinary proposal shall be made to such staff’s appointment and removal organ or supervisory organ.</w:t>
      </w:r>
    </w:p>
    <w:p w14:paraId="4A8B3DF3">
      <w:pPr>
        <w:ind w:firstLine="480" w:firstLineChars="200"/>
        <w:jc w:val="both"/>
        <w:rPr>
          <w:sz w:val="24"/>
          <w:szCs w:val="24"/>
        </w:rPr>
      </w:pPr>
      <w:r>
        <w:rPr>
          <w:sz w:val="24"/>
          <w:szCs w:val="24"/>
        </w:rPr>
        <w:t>If the administrative department of ecological environment fails to give administrative punishment, where the administrative punishment is required in accordance with law, the administrative department for ecological environment of the people's government at a higher level may directly make a decision on administrative punishment.</w:t>
      </w:r>
    </w:p>
    <w:p w14:paraId="17E5250F">
      <w:pPr>
        <w:ind w:firstLine="480" w:firstLineChars="200"/>
        <w:jc w:val="both"/>
        <w:rPr>
          <w:sz w:val="24"/>
          <w:szCs w:val="24"/>
        </w:rPr>
      </w:pPr>
      <w:r>
        <w:rPr>
          <w:b/>
          <w:color w:val="000000" w:themeColor="text1"/>
          <w:sz w:val="24"/>
          <w:szCs w:val="24"/>
          <w14:textFill>
            <w14:solidFill>
              <w14:schemeClr w14:val="tx1"/>
            </w14:solidFill>
          </w14:textFill>
        </w:rPr>
        <w:t>Article 84.</w:t>
      </w:r>
      <w:r>
        <w:rPr>
          <w:sz w:val="24"/>
          <w:szCs w:val="24"/>
        </w:rPr>
        <w:t xml:space="preserve"> If any of the following acts are committed by the people's governments at various levels, the department in charge of ecological environment and other departments responsible for the supervision and administration of ecological environment protection, the person in charge who is directly responsible and other persons directly responsible shall be punished with demerit, a serious demerit or demotion; where serious consequences are caused, the person in charge shall be removed from the office or dismissed, and the principal person in charge shall resign with the blame:</w:t>
      </w:r>
    </w:p>
    <w:p w14:paraId="584EC4CF">
      <w:pPr>
        <w:ind w:firstLine="480" w:firstLineChars="200"/>
        <w:jc w:val="both"/>
        <w:rPr>
          <w:sz w:val="24"/>
          <w:szCs w:val="24"/>
        </w:rPr>
      </w:pPr>
      <w:r>
        <w:rPr>
          <w:rFonts w:hint="eastAsia" w:eastAsia="宋体"/>
          <w:sz w:val="24"/>
          <w:szCs w:val="24"/>
          <w:lang w:eastAsia="zh-CN"/>
        </w:rPr>
        <w:t>(1)</w:t>
      </w:r>
      <w:r>
        <w:rPr>
          <w:sz w:val="24"/>
          <w:szCs w:val="24"/>
        </w:rPr>
        <w:t>Granting an administrative license without meeting the conditions of administrative license;</w:t>
      </w:r>
    </w:p>
    <w:p w14:paraId="2ABA8481">
      <w:pPr>
        <w:ind w:firstLine="480" w:firstLineChars="200"/>
        <w:jc w:val="both"/>
        <w:rPr>
          <w:sz w:val="24"/>
          <w:szCs w:val="24"/>
        </w:rPr>
      </w:pPr>
      <w:r>
        <w:rPr>
          <w:rFonts w:hint="eastAsia" w:eastAsia="宋体"/>
          <w:sz w:val="24"/>
          <w:szCs w:val="24"/>
          <w:lang w:eastAsia="zh-CN"/>
        </w:rPr>
        <w:t>(2)</w:t>
      </w:r>
      <w:r>
        <w:rPr>
          <w:sz w:val="24"/>
          <w:szCs w:val="24"/>
        </w:rPr>
        <w:t>Shielding any environmental violations;</w:t>
      </w:r>
    </w:p>
    <w:p w14:paraId="19CEBC9F">
      <w:pPr>
        <w:ind w:firstLine="480" w:firstLineChars="200"/>
        <w:jc w:val="both"/>
        <w:rPr>
          <w:sz w:val="24"/>
          <w:szCs w:val="24"/>
        </w:rPr>
      </w:pPr>
      <w:r>
        <w:rPr>
          <w:rFonts w:hint="eastAsia" w:eastAsia="宋体"/>
          <w:sz w:val="24"/>
          <w:szCs w:val="24"/>
          <w:lang w:eastAsia="zh-CN"/>
        </w:rPr>
        <w:t>(3)</w:t>
      </w:r>
      <w:r>
        <w:rPr>
          <w:sz w:val="24"/>
          <w:szCs w:val="24"/>
        </w:rPr>
        <w:t>Failing to make a decision where a decision shall be made in accordance with law to order the suspension of business or to close it down;</w:t>
      </w:r>
    </w:p>
    <w:p w14:paraId="0A62BB41">
      <w:pPr>
        <w:ind w:firstLine="480" w:firstLineChars="200"/>
        <w:jc w:val="both"/>
        <w:rPr>
          <w:sz w:val="24"/>
          <w:szCs w:val="24"/>
        </w:rPr>
      </w:pPr>
      <w:r>
        <w:rPr>
          <w:rFonts w:hint="eastAsia" w:eastAsia="宋体"/>
          <w:sz w:val="24"/>
          <w:szCs w:val="24"/>
          <w:lang w:eastAsia="zh-CN"/>
        </w:rPr>
        <w:t>(4)</w:t>
      </w:r>
      <w:r>
        <w:rPr>
          <w:sz w:val="24"/>
          <w:szCs w:val="24"/>
        </w:rPr>
        <w:t>Failing to promptly investigate and deal with the found or reported discharge of pollutants exceeding the standard, the discharge of pollutants by means of evasion of supervision, environmental accidents and ecological damage caused by failure to implement ecological protection measures;</w:t>
      </w:r>
    </w:p>
    <w:p w14:paraId="6E3FEF1F">
      <w:pPr>
        <w:ind w:firstLine="480" w:firstLineChars="200"/>
        <w:jc w:val="both"/>
        <w:rPr>
          <w:sz w:val="24"/>
          <w:szCs w:val="24"/>
        </w:rPr>
      </w:pPr>
      <w:r>
        <w:rPr>
          <w:rFonts w:hint="eastAsia" w:eastAsia="宋体"/>
          <w:sz w:val="24"/>
          <w:szCs w:val="24"/>
          <w:lang w:eastAsia="zh-CN"/>
        </w:rPr>
        <w:t>(5)</w:t>
      </w:r>
      <w:r>
        <w:rPr>
          <w:sz w:val="24"/>
          <w:szCs w:val="24"/>
        </w:rPr>
        <w:t>Illegally closing down or seizing facilities and equipment of enterprises, institutions and other producers and operators;</w:t>
      </w:r>
    </w:p>
    <w:p w14:paraId="63031E84">
      <w:pPr>
        <w:ind w:firstLine="480" w:firstLineChars="200"/>
        <w:jc w:val="both"/>
        <w:rPr>
          <w:sz w:val="24"/>
          <w:szCs w:val="24"/>
        </w:rPr>
      </w:pPr>
      <w:r>
        <w:rPr>
          <w:rFonts w:hint="eastAsia" w:eastAsia="宋体"/>
          <w:sz w:val="24"/>
          <w:szCs w:val="24"/>
          <w:lang w:eastAsia="zh-CN"/>
        </w:rPr>
        <w:t>(6)</w:t>
      </w:r>
      <w:r>
        <w:rPr>
          <w:sz w:val="24"/>
          <w:szCs w:val="24"/>
        </w:rPr>
        <w:t>Tampering with, falsifying or directing tampering with or falsifying monitoring data;</w:t>
      </w:r>
    </w:p>
    <w:p w14:paraId="34FBFEB7">
      <w:pPr>
        <w:ind w:firstLine="480" w:firstLineChars="200"/>
        <w:jc w:val="both"/>
        <w:rPr>
          <w:sz w:val="24"/>
          <w:szCs w:val="24"/>
        </w:rPr>
      </w:pPr>
      <w:r>
        <w:rPr>
          <w:rFonts w:hint="eastAsia" w:eastAsia="宋体"/>
          <w:sz w:val="24"/>
          <w:szCs w:val="24"/>
          <w:lang w:eastAsia="zh-CN"/>
        </w:rPr>
        <w:t>(7)</w:t>
      </w:r>
      <w:r>
        <w:rPr>
          <w:sz w:val="24"/>
          <w:szCs w:val="24"/>
        </w:rPr>
        <w:t>Failing to disclose the environmental information which shall be disclosed in accordance with law;</w:t>
      </w:r>
    </w:p>
    <w:p w14:paraId="1049BD81">
      <w:pPr>
        <w:ind w:firstLine="480" w:firstLineChars="200"/>
        <w:jc w:val="both"/>
        <w:rPr>
          <w:sz w:val="24"/>
          <w:szCs w:val="24"/>
        </w:rPr>
      </w:pPr>
      <w:r>
        <w:rPr>
          <w:rFonts w:hint="eastAsia" w:eastAsia="宋体"/>
          <w:sz w:val="24"/>
          <w:szCs w:val="24"/>
          <w:lang w:eastAsia="zh-CN"/>
        </w:rPr>
        <w:t>(8)</w:t>
      </w:r>
      <w:r>
        <w:rPr>
          <w:sz w:val="24"/>
          <w:szCs w:val="24"/>
        </w:rPr>
        <w:t>Other illegal acts prescribed by laws and regulations.</w:t>
      </w:r>
    </w:p>
    <w:p w14:paraId="589B3DF2">
      <w:pPr>
        <w:ind w:firstLine="480" w:firstLineChars="200"/>
        <w:jc w:val="both"/>
        <w:rPr>
          <w:sz w:val="24"/>
          <w:szCs w:val="24"/>
        </w:rPr>
      </w:pPr>
      <w:r>
        <w:rPr>
          <w:b/>
          <w:color w:val="000000" w:themeColor="text1"/>
          <w:sz w:val="24"/>
          <w:szCs w:val="24"/>
          <w14:textFill>
            <w14:solidFill>
              <w14:schemeClr w14:val="tx1"/>
            </w14:solidFill>
          </w14:textFill>
        </w:rPr>
        <w:t>Article 85.</w:t>
      </w:r>
      <w:r>
        <w:rPr>
          <w:sz w:val="24"/>
          <w:szCs w:val="24"/>
        </w:rPr>
        <w:t xml:space="preserve"> Whoever causes ecological environmental damage in violation of State regulations shall be liable for compensation for ecological environmental damage in accordance with law.</w:t>
      </w:r>
    </w:p>
    <w:p w14:paraId="7020B29E">
      <w:pPr>
        <w:jc w:val="both"/>
        <w:rPr>
          <w:sz w:val="24"/>
          <w:szCs w:val="24"/>
        </w:rPr>
      </w:pPr>
    </w:p>
    <w:p w14:paraId="30809FFB">
      <w:pPr>
        <w:jc w:val="center"/>
        <w:rPr>
          <w:b/>
          <w:bCs/>
          <w:sz w:val="32"/>
          <w:szCs w:val="32"/>
        </w:rPr>
      </w:pPr>
      <w:r>
        <w:rPr>
          <w:b/>
          <w:bCs/>
          <w:sz w:val="32"/>
          <w:szCs w:val="32"/>
        </w:rPr>
        <w:t>Chapter VIII</w:t>
      </w:r>
      <w:r>
        <w:rPr>
          <w:rFonts w:hint="eastAsia" w:eastAsia="宋体"/>
          <w:b/>
          <w:bCs/>
          <w:sz w:val="32"/>
          <w:szCs w:val="32"/>
          <w:lang w:eastAsia="zh-CN"/>
        </w:rPr>
        <w:t xml:space="preserve"> </w:t>
      </w:r>
      <w:r>
        <w:rPr>
          <w:b/>
          <w:bCs/>
          <w:sz w:val="32"/>
          <w:szCs w:val="32"/>
        </w:rPr>
        <w:t xml:space="preserve"> Supplementary Provisions</w:t>
      </w:r>
    </w:p>
    <w:p w14:paraId="1A6C8516">
      <w:pPr>
        <w:jc w:val="both"/>
        <w:rPr>
          <w:sz w:val="24"/>
          <w:szCs w:val="24"/>
        </w:rPr>
      </w:pPr>
    </w:p>
    <w:p w14:paraId="3CD4EE13">
      <w:pPr>
        <w:ind w:firstLine="480" w:firstLineChars="200"/>
        <w:jc w:val="both"/>
        <w:rPr>
          <w:sz w:val="24"/>
          <w:szCs w:val="24"/>
        </w:rPr>
      </w:pPr>
      <w:r>
        <w:rPr>
          <w:b/>
          <w:color w:val="000000" w:themeColor="text1"/>
          <w:sz w:val="24"/>
          <w:szCs w:val="24"/>
          <w14:textFill>
            <w14:solidFill>
              <w14:schemeClr w14:val="tx1"/>
            </w14:solidFill>
          </w14:textFill>
        </w:rPr>
        <w:t>Article 86.</w:t>
      </w:r>
      <w:r>
        <w:rPr>
          <w:sz w:val="24"/>
          <w:szCs w:val="24"/>
        </w:rPr>
        <w:t xml:space="preserve"> These Regulations shall become into effective as of January 1, 2021. The Regulations of Jilin Province on Environmental Protection shall be repealed at the same time.</w:t>
      </w:r>
    </w:p>
    <w:sectPr>
      <w:footerReference r:id="rId6" w:type="default"/>
      <w:headerReference r:id="rId5" w:type="even"/>
      <w:footerReference r:id="rId7" w:type="even"/>
      <w:pgSz w:w="10780" w:h="15090"/>
      <w:pgMar w:top="1440" w:right="1800" w:bottom="1440" w:left="1800" w:header="0" w:footer="1048" w:gutter="0"/>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6A1DE">
    <w:pPr>
      <w:pStyle w:val="9"/>
      <w:spacing w:line="14" w:lineRule="auto"/>
      <w:ind w:left="0" w:firstLine="420"/>
      <w:rPr>
        <w:sz w:val="20"/>
      </w:rPr>
    </w:pPr>
    <w:r>
      <w:rPr>
        <w:lang w:eastAsia="zh-CN" w:bidi="ar-SA"/>
      </w:rPr>
      <mc:AlternateContent>
        <mc:Choice Requires="wps">
          <w:drawing>
            <wp:anchor distT="0" distB="0" distL="114300" distR="114300" simplePos="0" relativeHeight="251662336" behindDoc="1" locked="0" layoutInCell="1" allowOverlap="1">
              <wp:simplePos x="0" y="0"/>
              <wp:positionH relativeFrom="page">
                <wp:posOffset>3141980</wp:posOffset>
              </wp:positionH>
              <wp:positionV relativeFrom="page">
                <wp:posOffset>8770620</wp:posOffset>
              </wp:positionV>
              <wp:extent cx="556895" cy="200660"/>
              <wp:effectExtent l="0" t="0" r="0" b="1270"/>
              <wp:wrapNone/>
              <wp:docPr id="959" name="文本框 959"/>
              <wp:cNvGraphicFramePr/>
              <a:graphic xmlns:a="http://schemas.openxmlformats.org/drawingml/2006/main">
                <a:graphicData uri="http://schemas.microsoft.com/office/word/2010/wordprocessingShape">
                  <wps:wsp>
                    <wps:cNvSpPr txBox="1">
                      <a:spLocks noChangeArrowheads="1"/>
                    </wps:cNvSpPr>
                    <wps:spPr bwMode="auto">
                      <a:xfrm>
                        <a:off x="0" y="0"/>
                        <a:ext cx="556895" cy="200660"/>
                      </a:xfrm>
                      <a:prstGeom prst="rect">
                        <a:avLst/>
                      </a:prstGeom>
                      <a:noFill/>
                      <a:ln>
                        <a:noFill/>
                      </a:ln>
                    </wps:spPr>
                    <wps:txbx>
                      <w:txbxContent>
                        <w:p w14:paraId="440AD0B8">
                          <w:pPr>
                            <w:spacing w:line="316" w:lineRule="exact"/>
                            <w:ind w:left="2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24</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47.4pt;margin-top:690.6pt;height:15.8pt;width:43.85pt;mso-position-horizontal-relative:page;mso-position-vertical-relative:page;z-index:-251654144;mso-width-relative:page;mso-height-relative:page;" filled="f" stroked="f" coordsize="21600,21600" o:gfxdata="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m1fjXbAAAADQEAAA8AAAAAAAAA&#10;AQAgAAAAIgAAAGRycy9kb3ducmV2LnhtbFBLAQIUABQAAAAIAIdO4kBSIlLEDgIAAAgEAAAOAAAA&#10;AAAAAAEAIAAAACoBAABkcnMvZTJvRG9jLnhtbFBLBQYAAAAABgAGAFkBAACqBQAAAAA=&#10;">
              <v:fill on="f" focussize="0,0"/>
              <v:stroke on="f"/>
              <v:imagedata o:title=""/>
              <o:lock v:ext="edit" aspectratio="f"/>
              <v:textbox inset="0mm,0mm,0mm,0mm">
                <w:txbxContent>
                  <w:p w14:paraId="440AD0B8">
                    <w:pPr>
                      <w:spacing w:line="316" w:lineRule="exact"/>
                      <w:ind w:left="2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24</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D4C3E">
    <w:pPr>
      <w:pStyle w:val="9"/>
      <w:spacing w:line="14" w:lineRule="auto"/>
      <w:ind w:left="0" w:firstLine="420"/>
      <w:rPr>
        <w:sz w:val="20"/>
      </w:rPr>
    </w:pPr>
    <w:r>
      <w:rPr>
        <w:lang w:eastAsia="zh-CN" w:bidi="ar-SA"/>
      </w:rPr>
      <mc:AlternateContent>
        <mc:Choice Requires="wps">
          <w:drawing>
            <wp:anchor distT="0" distB="0" distL="114300" distR="114300" simplePos="0" relativeHeight="251661312" behindDoc="1" locked="0" layoutInCell="1" allowOverlap="1">
              <wp:simplePos x="0" y="0"/>
              <wp:positionH relativeFrom="page">
                <wp:posOffset>3141980</wp:posOffset>
              </wp:positionH>
              <wp:positionV relativeFrom="page">
                <wp:posOffset>8770620</wp:posOffset>
              </wp:positionV>
              <wp:extent cx="556895" cy="200660"/>
              <wp:effectExtent l="0" t="0" r="0" b="1270"/>
              <wp:wrapNone/>
              <wp:docPr id="960" name="文本框 960"/>
              <wp:cNvGraphicFramePr/>
              <a:graphic xmlns:a="http://schemas.openxmlformats.org/drawingml/2006/main">
                <a:graphicData uri="http://schemas.microsoft.com/office/word/2010/wordprocessingShape">
                  <wps:wsp>
                    <wps:cNvSpPr txBox="1">
                      <a:spLocks noChangeArrowheads="1"/>
                    </wps:cNvSpPr>
                    <wps:spPr bwMode="auto">
                      <a:xfrm>
                        <a:off x="0" y="0"/>
                        <a:ext cx="556895" cy="200660"/>
                      </a:xfrm>
                      <a:prstGeom prst="rect">
                        <a:avLst/>
                      </a:prstGeom>
                      <a:noFill/>
                      <a:ln>
                        <a:noFill/>
                      </a:ln>
                    </wps:spPr>
                    <wps:txbx>
                      <w:txbxContent>
                        <w:p w14:paraId="1AF012A0">
                          <w:pPr>
                            <w:spacing w:line="316" w:lineRule="exact"/>
                            <w:ind w:left="2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18</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47.4pt;margin-top:690.6pt;height:15.8pt;width:43.85pt;mso-position-horizontal-relative:page;mso-position-vertical-relative:page;z-index:-251655168;mso-width-relative:page;mso-height-relative:page;" filled="f" stroked="f" coordsize="21600,21600" o:gfxdata="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JtX412wAAAA0BAAAPAAAAAAAAAAEA&#10;IAAAACIAAABkcnMvZG93bnJldi54bWxQSwECFAAUAAAACACHTuJAkATl/AwCAAAIBAAADgAAAAAA&#10;AAABACAAAAAqAQAAZHJzL2Uyb0RvYy54bWxQSwUGAAAAAAYABgBZAQAAqAUAAAAA&#10;">
              <v:fill on="f" focussize="0,0"/>
              <v:stroke on="f"/>
              <v:imagedata o:title=""/>
              <o:lock v:ext="edit" aspectratio="f"/>
              <v:textbox inset="0mm,0mm,0mm,0mm">
                <w:txbxContent>
                  <w:p w14:paraId="1AF012A0">
                    <w:pPr>
                      <w:spacing w:line="316" w:lineRule="exact"/>
                      <w:ind w:left="2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18</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F7722">
    <w:pPr>
      <w:pStyle w:val="9"/>
      <w:spacing w:line="14" w:lineRule="auto"/>
      <w:ind w:left="0" w:firstLine="420"/>
      <w:rPr>
        <w:sz w:val="20"/>
      </w:rPr>
    </w:pPr>
    <w:r>
      <w:rPr>
        <w:lang w:eastAsia="zh-CN" w:bidi="ar-SA"/>
      </w:rPr>
      <mc:AlternateContent>
        <mc:Choice Requires="wps">
          <w:drawing>
            <wp:anchor distT="0" distB="0" distL="114300" distR="114300" simplePos="0" relativeHeight="251659264" behindDoc="1" locked="0" layoutInCell="1" allowOverlap="1">
              <wp:simplePos x="0" y="0"/>
              <wp:positionH relativeFrom="page">
                <wp:posOffset>756285</wp:posOffset>
              </wp:positionH>
              <wp:positionV relativeFrom="page">
                <wp:posOffset>963295</wp:posOffset>
              </wp:positionV>
              <wp:extent cx="5330825" cy="0"/>
              <wp:effectExtent l="13335" t="10795" r="8890" b="8255"/>
              <wp:wrapNone/>
              <wp:docPr id="964" name="直接连接符 964"/>
              <wp:cNvGraphicFramePr/>
              <a:graphic xmlns:a="http://schemas.openxmlformats.org/drawingml/2006/main">
                <a:graphicData uri="http://schemas.microsoft.com/office/word/2010/wordprocessingShape">
                  <wps:wsp>
                    <wps:cNvCnPr>
                      <a:cxnSpLocks noChangeShapeType="1"/>
                    </wps:cNvCnPr>
                    <wps:spPr bwMode="auto">
                      <a:xfrm>
                        <a:off x="0" y="0"/>
                        <a:ext cx="5330825" cy="0"/>
                      </a:xfrm>
                      <a:prstGeom prst="line">
                        <a:avLst/>
                      </a:prstGeom>
                      <a:noFill/>
                      <a:ln w="6350">
                        <a:solidFill>
                          <a:srgbClr val="231F20"/>
                        </a:solidFill>
                        <a:prstDash val="solid"/>
                        <a:round/>
                      </a:ln>
                    </wps:spPr>
                    <wps:bodyPr/>
                  </wps:wsp>
                </a:graphicData>
              </a:graphic>
            </wp:anchor>
          </w:drawing>
        </mc:Choice>
        <mc:Fallback>
          <w:pict>
            <v:line id="_x0000_s1026" o:spid="_x0000_s1026" o:spt="20" style="position:absolute;left:0pt;margin-left:59.55pt;margin-top:75.85pt;height:0pt;width:419.75pt;mso-position-horizontal-relative:page;mso-position-vertical-relative:page;z-index:-251657216;mso-width-relative:page;mso-height-relative:page;" filled="f" stroked="t" coordsize="21600,21600" o:gfxdata="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Ce7CTXAAAACwEAAA8AAAAAAAAAAQAgAAAAIgAAAGRycy9kb3ducmV2LnhtbFBLAQIU&#10;ABQAAAAIAIdO4kCpWhyr9AEAAMcDAAAOAAAAAAAAAAEAIAAAACYBAABkcnMvZTJvRG9jLnhtbFBL&#10;BQYAAAAABgAGAFkBAACMBQAAAAA=&#10;">
              <v:fill on="f" focussize="0,0"/>
              <v:stroke weight="0.5pt" color="#231F20" joinstyle="round"/>
              <v:imagedata o:title=""/>
              <o:lock v:ext="edit" aspectratio="f"/>
            </v:line>
          </w:pict>
        </mc:Fallback>
      </mc:AlternateContent>
    </w:r>
    <w:r>
      <w:rPr>
        <w:lang w:eastAsia="zh-CN" w:bidi="ar-SA"/>
      </w:rPr>
      <mc:AlternateContent>
        <mc:Choice Requires="wps">
          <w:drawing>
            <wp:anchor distT="0" distB="0" distL="114300" distR="114300" simplePos="0" relativeHeight="251660288" behindDoc="1" locked="0" layoutInCell="1" allowOverlap="1">
              <wp:simplePos x="0" y="0"/>
              <wp:positionH relativeFrom="page">
                <wp:posOffset>743585</wp:posOffset>
              </wp:positionH>
              <wp:positionV relativeFrom="page">
                <wp:posOffset>742950</wp:posOffset>
              </wp:positionV>
              <wp:extent cx="1397000" cy="191135"/>
              <wp:effectExtent l="635" t="0" r="2540" b="0"/>
              <wp:wrapNone/>
              <wp:docPr id="963" name="文本框 963"/>
              <wp:cNvGraphicFramePr/>
              <a:graphic xmlns:a="http://schemas.openxmlformats.org/drawingml/2006/main">
                <a:graphicData uri="http://schemas.microsoft.com/office/word/2010/wordprocessingShape">
                  <wps:wsp>
                    <wps:cNvSpPr txBox="1">
                      <a:spLocks noChangeArrowheads="1"/>
                    </wps:cNvSpPr>
                    <wps:spPr bwMode="auto">
                      <a:xfrm>
                        <a:off x="0" y="0"/>
                        <a:ext cx="1397000" cy="191135"/>
                      </a:xfrm>
                      <a:prstGeom prst="rect">
                        <a:avLst/>
                      </a:prstGeom>
                      <a:noFill/>
                      <a:ln>
                        <a:noFill/>
                      </a:ln>
                    </wps:spPr>
                    <wps:txbx>
                      <w:txbxContent>
                        <w:p w14:paraId="7B3B1001">
                          <w:pPr>
                            <w:spacing w:line="301" w:lineRule="exact"/>
                            <w:ind w:left="20"/>
                            <w:rPr>
                              <w:rFonts w:ascii="PMingLiU" w:eastAsia="PMingLiU"/>
                              <w:sz w:val="24"/>
                            </w:rPr>
                          </w:pPr>
                          <w:r>
                            <w:rPr>
                              <w:rFonts w:hint="eastAsia" w:ascii="PMingLiU" w:eastAsia="PMingLiU"/>
                              <w:color w:val="231F20"/>
                              <w:sz w:val="24"/>
                            </w:rPr>
                            <w:t>吉林省河湖长制条例</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58.55pt;margin-top:58.5pt;height:15.05pt;width:110pt;mso-position-horizontal-relative:page;mso-position-vertical-relative:page;z-index:-251656192;mso-width-relative:page;mso-height-relative:page;" filled="f" stroked="f" coordsize="21600,21600" o:gfxdata="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Hl7B91QAAAAsBAAAPAAAAAAAAAAEAIAAA&#10;ACIAAABkcnMvZG93bnJldi54bWxQSwECFAAUAAAACACHTuJA1Rfq7w8CAAAJBAAADgAAAAAAAAAB&#10;ACAAAAAkAQAAZHJzL2Uyb0RvYy54bWxQSwUGAAAAAAYABgBZAQAApQUAAAAA&#10;">
              <v:fill on="f" focussize="0,0"/>
              <v:stroke on="f"/>
              <v:imagedata o:title=""/>
              <o:lock v:ext="edit" aspectratio="f"/>
              <v:textbox inset="0mm,0mm,0mm,0mm">
                <w:txbxContent>
                  <w:p w14:paraId="7B3B1001">
                    <w:pPr>
                      <w:spacing w:line="301" w:lineRule="exact"/>
                      <w:ind w:left="20"/>
                      <w:rPr>
                        <w:rFonts w:ascii="PMingLiU" w:eastAsia="PMingLiU"/>
                        <w:sz w:val="24"/>
                      </w:rPr>
                    </w:pPr>
                    <w:r>
                      <w:rPr>
                        <w:rFonts w:hint="eastAsia" w:ascii="PMingLiU" w:eastAsia="PMingLiU"/>
                        <w:color w:val="231F20"/>
                        <w:sz w:val="24"/>
                      </w:rPr>
                      <w:t>吉林省河湖长制条例</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2NWMwMTY4NWQzNTE4MzQ4ZDRjNTAxMjYyMTFiMDMifQ=="/>
  </w:docVars>
  <w:rsids>
    <w:rsidRoot w:val="006B0A6E"/>
    <w:rsid w:val="000914D5"/>
    <w:rsid w:val="000A3C98"/>
    <w:rsid w:val="000B71D0"/>
    <w:rsid w:val="000D0D61"/>
    <w:rsid w:val="00107C25"/>
    <w:rsid w:val="001612F1"/>
    <w:rsid w:val="00187C0E"/>
    <w:rsid w:val="001B7B6D"/>
    <w:rsid w:val="001E53CD"/>
    <w:rsid w:val="00237F8D"/>
    <w:rsid w:val="0026737C"/>
    <w:rsid w:val="0028278F"/>
    <w:rsid w:val="002C60AD"/>
    <w:rsid w:val="003868D4"/>
    <w:rsid w:val="0039043B"/>
    <w:rsid w:val="0041551A"/>
    <w:rsid w:val="004B4646"/>
    <w:rsid w:val="004D61EC"/>
    <w:rsid w:val="004D6724"/>
    <w:rsid w:val="00504787"/>
    <w:rsid w:val="005370C5"/>
    <w:rsid w:val="005B7DF2"/>
    <w:rsid w:val="006030A5"/>
    <w:rsid w:val="00671880"/>
    <w:rsid w:val="006A4A29"/>
    <w:rsid w:val="006B0A6E"/>
    <w:rsid w:val="006D6979"/>
    <w:rsid w:val="007461AA"/>
    <w:rsid w:val="00751BBA"/>
    <w:rsid w:val="00774FBC"/>
    <w:rsid w:val="00776CCD"/>
    <w:rsid w:val="007D6AEA"/>
    <w:rsid w:val="00803CE7"/>
    <w:rsid w:val="0086765A"/>
    <w:rsid w:val="00876987"/>
    <w:rsid w:val="00891A41"/>
    <w:rsid w:val="008A060A"/>
    <w:rsid w:val="008F672F"/>
    <w:rsid w:val="009937F9"/>
    <w:rsid w:val="00A170E1"/>
    <w:rsid w:val="00A25509"/>
    <w:rsid w:val="00A34FEC"/>
    <w:rsid w:val="00A42E0B"/>
    <w:rsid w:val="00A47BBE"/>
    <w:rsid w:val="00B86845"/>
    <w:rsid w:val="00BC1791"/>
    <w:rsid w:val="00C02C0E"/>
    <w:rsid w:val="00C30B67"/>
    <w:rsid w:val="00C45FB1"/>
    <w:rsid w:val="00C810E8"/>
    <w:rsid w:val="00D706F2"/>
    <w:rsid w:val="00DA031B"/>
    <w:rsid w:val="00DA6954"/>
    <w:rsid w:val="00E04AF0"/>
    <w:rsid w:val="00E13A62"/>
    <w:rsid w:val="00EF0F3A"/>
    <w:rsid w:val="00F05EA9"/>
    <w:rsid w:val="00F34DDA"/>
    <w:rsid w:val="00F6711F"/>
    <w:rsid w:val="052B766A"/>
    <w:rsid w:val="166C4DF6"/>
    <w:rsid w:val="23267FF9"/>
    <w:rsid w:val="36F329F6"/>
    <w:rsid w:val="3DAF5796"/>
    <w:rsid w:val="4B4C3EAD"/>
    <w:rsid w:val="6A3B2151"/>
    <w:rsid w:val="7F6B6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1" w:semiHidden="0" w:name="heading 5"/>
    <w:lsdException w:qFormat="1" w:unhideWhenUsed="0" w:uiPriority="1" w:semiHidden="0" w:name="heading 6"/>
    <w:lsdException w:qFormat="1"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line="360" w:lineRule="auto"/>
    </w:pPr>
    <w:rPr>
      <w:rFonts w:ascii="Times New Roman" w:hAnsi="Times New Roman" w:eastAsia="Times New Roman" w:cs="Times New Roman"/>
      <w:sz w:val="22"/>
      <w:szCs w:val="22"/>
      <w:lang w:val="en-US" w:eastAsia="en-US" w:bidi="en-US"/>
    </w:rPr>
  </w:style>
  <w:style w:type="paragraph" w:styleId="2">
    <w:name w:val="heading 1"/>
    <w:basedOn w:val="1"/>
    <w:next w:val="1"/>
    <w:link w:val="17"/>
    <w:qFormat/>
    <w:uiPriority w:val="1"/>
    <w:pPr>
      <w:spacing w:before="61"/>
      <w:ind w:left="211" w:right="229"/>
      <w:jc w:val="center"/>
      <w:outlineLvl w:val="0"/>
    </w:pPr>
    <w:rPr>
      <w:rFonts w:ascii="PMingLiU" w:hAnsi="PMingLiU" w:eastAsia="PMingLiU" w:cs="PMingLiU"/>
      <w:sz w:val="40"/>
      <w:szCs w:val="40"/>
    </w:rPr>
  </w:style>
  <w:style w:type="paragraph" w:styleId="3">
    <w:name w:val="heading 2"/>
    <w:basedOn w:val="1"/>
    <w:next w:val="1"/>
    <w:link w:val="20"/>
    <w:qFormat/>
    <w:uiPriority w:val="1"/>
    <w:pPr>
      <w:ind w:left="210" w:right="229"/>
      <w:jc w:val="center"/>
      <w:outlineLvl w:val="1"/>
    </w:pPr>
    <w:rPr>
      <w:b/>
      <w:bCs/>
      <w:sz w:val="24"/>
      <w:szCs w:val="24"/>
    </w:rPr>
  </w:style>
  <w:style w:type="paragraph" w:styleId="4">
    <w:name w:val="heading 3"/>
    <w:basedOn w:val="1"/>
    <w:next w:val="1"/>
    <w:link w:val="21"/>
    <w:qFormat/>
    <w:uiPriority w:val="1"/>
    <w:pPr>
      <w:ind w:left="225"/>
      <w:outlineLvl w:val="2"/>
    </w:pPr>
    <w:rPr>
      <w:rFonts w:ascii="PMingLiU" w:hAnsi="PMingLiU" w:eastAsia="PMingLiU" w:cs="PMingLiU"/>
      <w:sz w:val="24"/>
      <w:szCs w:val="24"/>
    </w:rPr>
  </w:style>
  <w:style w:type="paragraph" w:styleId="5">
    <w:name w:val="heading 4"/>
    <w:basedOn w:val="1"/>
    <w:next w:val="1"/>
    <w:link w:val="22"/>
    <w:qFormat/>
    <w:uiPriority w:val="1"/>
    <w:pPr>
      <w:ind w:left="882" w:hanging="266"/>
      <w:jc w:val="both"/>
      <w:outlineLvl w:val="3"/>
    </w:pPr>
    <w:rPr>
      <w:b/>
      <w:bCs/>
      <w:sz w:val="21"/>
      <w:szCs w:val="21"/>
    </w:rPr>
  </w:style>
  <w:style w:type="paragraph" w:styleId="6">
    <w:name w:val="heading 5"/>
    <w:basedOn w:val="1"/>
    <w:next w:val="1"/>
    <w:link w:val="30"/>
    <w:unhideWhenUsed/>
    <w:qFormat/>
    <w:uiPriority w:val="1"/>
    <w:pPr>
      <w:keepNext/>
      <w:keepLines/>
      <w:spacing w:before="280" w:after="290" w:line="376" w:lineRule="auto"/>
      <w:outlineLvl w:val="4"/>
    </w:pPr>
    <w:rPr>
      <w:b/>
      <w:bCs/>
      <w:sz w:val="28"/>
      <w:szCs w:val="28"/>
    </w:rPr>
  </w:style>
  <w:style w:type="paragraph" w:styleId="7">
    <w:name w:val="heading 6"/>
    <w:basedOn w:val="1"/>
    <w:next w:val="1"/>
    <w:link w:val="32"/>
    <w:qFormat/>
    <w:uiPriority w:val="1"/>
    <w:pPr>
      <w:ind w:left="225" w:firstLine="481"/>
      <w:jc w:val="both"/>
      <w:outlineLvl w:val="5"/>
    </w:pPr>
    <w:rPr>
      <w:b/>
      <w:bCs/>
      <w:sz w:val="21"/>
      <w:szCs w:val="21"/>
    </w:rPr>
  </w:style>
  <w:style w:type="paragraph" w:styleId="8">
    <w:name w:val="heading 7"/>
    <w:basedOn w:val="1"/>
    <w:next w:val="1"/>
    <w:link w:val="36"/>
    <w:unhideWhenUsed/>
    <w:qFormat/>
    <w:uiPriority w:val="9"/>
    <w:pPr>
      <w:keepNext/>
      <w:keepLines/>
      <w:spacing w:before="240" w:after="64" w:line="320" w:lineRule="auto"/>
      <w:outlineLvl w:val="6"/>
    </w:pPr>
    <w:rPr>
      <w:b/>
      <w:bCs/>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9">
    <w:name w:val="Body Text"/>
    <w:basedOn w:val="1"/>
    <w:link w:val="24"/>
    <w:qFormat/>
    <w:uiPriority w:val="1"/>
    <w:pPr>
      <w:ind w:left="227" w:firstLine="200" w:firstLineChars="200"/>
    </w:pPr>
    <w:rPr>
      <w:sz w:val="21"/>
      <w:szCs w:val="21"/>
    </w:rPr>
  </w:style>
  <w:style w:type="paragraph" w:styleId="10">
    <w:name w:val="footer"/>
    <w:basedOn w:val="1"/>
    <w:link w:val="29"/>
    <w:unhideWhenUsed/>
    <w:qFormat/>
    <w:uiPriority w:val="99"/>
    <w:pPr>
      <w:tabs>
        <w:tab w:val="center" w:pos="4153"/>
        <w:tab w:val="right" w:pos="8306"/>
      </w:tabs>
      <w:snapToGrid w:val="0"/>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Subtitle"/>
    <w:basedOn w:val="1"/>
    <w:next w:val="1"/>
    <w:link w:val="35"/>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3">
    <w:name w:val="Title"/>
    <w:basedOn w:val="1"/>
    <w:link w:val="25"/>
    <w:qFormat/>
    <w:uiPriority w:val="1"/>
    <w:pPr>
      <w:spacing w:before="161"/>
      <w:ind w:left="211" w:right="229"/>
      <w:jc w:val="center"/>
    </w:pPr>
    <w:rPr>
      <w:rFonts w:ascii="PMingLiU" w:hAnsi="PMingLiU" w:eastAsia="PMingLiU" w:cs="PMingLiU"/>
      <w:sz w:val="60"/>
      <w:szCs w:val="60"/>
    </w:rPr>
  </w:style>
  <w:style w:type="character" w:styleId="16">
    <w:name w:val="Strong"/>
    <w:basedOn w:val="15"/>
    <w:qFormat/>
    <w:uiPriority w:val="22"/>
    <w:rPr>
      <w:b/>
      <w:bCs/>
    </w:rPr>
  </w:style>
  <w:style w:type="character" w:customStyle="1" w:styleId="17">
    <w:name w:val="标题 1 字符"/>
    <w:basedOn w:val="15"/>
    <w:link w:val="2"/>
    <w:qFormat/>
    <w:uiPriority w:val="1"/>
    <w:rPr>
      <w:rFonts w:ascii="PMingLiU" w:hAnsi="PMingLiU" w:eastAsia="PMingLiU" w:cs="PMingLiU"/>
      <w:kern w:val="0"/>
      <w:sz w:val="40"/>
      <w:szCs w:val="40"/>
      <w:lang w:eastAsia="en-US" w:bidi="en-US"/>
    </w:rPr>
  </w:style>
  <w:style w:type="paragraph" w:customStyle="1" w:styleId="18">
    <w:name w:val="英文正文"/>
    <w:link w:val="19"/>
    <w:qFormat/>
    <w:uiPriority w:val="0"/>
    <w:pPr>
      <w:spacing w:line="360" w:lineRule="auto"/>
    </w:pPr>
    <w:rPr>
      <w:rFonts w:eastAsia="Times New Roman" w:asciiTheme="minorHAnsi" w:hAnsiTheme="minorHAnsi" w:cstheme="minorBidi"/>
      <w:kern w:val="2"/>
      <w:sz w:val="24"/>
      <w:szCs w:val="22"/>
      <w:lang w:val="en-US" w:eastAsia="zh-CN" w:bidi="ar-SA"/>
    </w:rPr>
  </w:style>
  <w:style w:type="character" w:customStyle="1" w:styleId="19">
    <w:name w:val="英文正文 字符"/>
    <w:basedOn w:val="15"/>
    <w:link w:val="18"/>
    <w:qFormat/>
    <w:uiPriority w:val="0"/>
    <w:rPr>
      <w:rFonts w:eastAsia="Times New Roman"/>
      <w:sz w:val="24"/>
    </w:rPr>
  </w:style>
  <w:style w:type="character" w:customStyle="1" w:styleId="20">
    <w:name w:val="标题 2 字符"/>
    <w:basedOn w:val="15"/>
    <w:link w:val="3"/>
    <w:qFormat/>
    <w:uiPriority w:val="1"/>
    <w:rPr>
      <w:rFonts w:ascii="Times New Roman" w:hAnsi="Times New Roman" w:eastAsia="Times New Roman" w:cs="Times New Roman"/>
      <w:b/>
      <w:bCs/>
      <w:kern w:val="0"/>
      <w:sz w:val="24"/>
      <w:szCs w:val="24"/>
      <w:lang w:eastAsia="en-US" w:bidi="en-US"/>
    </w:rPr>
  </w:style>
  <w:style w:type="character" w:customStyle="1" w:styleId="21">
    <w:name w:val="标题 3 字符"/>
    <w:basedOn w:val="15"/>
    <w:link w:val="4"/>
    <w:qFormat/>
    <w:uiPriority w:val="1"/>
    <w:rPr>
      <w:rFonts w:ascii="PMingLiU" w:hAnsi="PMingLiU" w:eastAsia="PMingLiU" w:cs="PMingLiU"/>
      <w:kern w:val="0"/>
      <w:sz w:val="24"/>
      <w:szCs w:val="24"/>
      <w:lang w:eastAsia="en-US" w:bidi="en-US"/>
    </w:rPr>
  </w:style>
  <w:style w:type="character" w:customStyle="1" w:styleId="22">
    <w:name w:val="标题 4 字符"/>
    <w:basedOn w:val="15"/>
    <w:link w:val="5"/>
    <w:qFormat/>
    <w:uiPriority w:val="1"/>
    <w:rPr>
      <w:rFonts w:ascii="Times New Roman" w:hAnsi="Times New Roman" w:eastAsia="Times New Roman" w:cs="Times New Roman"/>
      <w:b/>
      <w:bCs/>
      <w:kern w:val="0"/>
      <w:szCs w:val="21"/>
      <w:lang w:eastAsia="en-US" w:bidi="en-US"/>
    </w:rPr>
  </w:style>
  <w:style w:type="table" w:customStyle="1" w:styleId="23">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character" w:customStyle="1" w:styleId="24">
    <w:name w:val="正文文本 字符"/>
    <w:basedOn w:val="15"/>
    <w:link w:val="9"/>
    <w:qFormat/>
    <w:uiPriority w:val="1"/>
    <w:rPr>
      <w:rFonts w:ascii="Times New Roman" w:hAnsi="Times New Roman" w:eastAsia="Times New Roman" w:cs="Times New Roman"/>
      <w:kern w:val="0"/>
      <w:szCs w:val="21"/>
      <w:lang w:eastAsia="en-US" w:bidi="en-US"/>
    </w:rPr>
  </w:style>
  <w:style w:type="character" w:customStyle="1" w:styleId="25">
    <w:name w:val="标题 字符"/>
    <w:basedOn w:val="15"/>
    <w:link w:val="13"/>
    <w:qFormat/>
    <w:uiPriority w:val="1"/>
    <w:rPr>
      <w:rFonts w:ascii="PMingLiU" w:hAnsi="PMingLiU" w:eastAsia="PMingLiU" w:cs="PMingLiU"/>
      <w:kern w:val="0"/>
      <w:sz w:val="60"/>
      <w:szCs w:val="60"/>
      <w:lang w:eastAsia="en-US" w:bidi="en-US"/>
    </w:rPr>
  </w:style>
  <w:style w:type="paragraph" w:styleId="26">
    <w:name w:val="List Paragraph"/>
    <w:basedOn w:val="1"/>
    <w:qFormat/>
    <w:uiPriority w:val="1"/>
    <w:pPr>
      <w:ind w:left="225" w:firstLine="481"/>
      <w:jc w:val="both"/>
    </w:pPr>
  </w:style>
  <w:style w:type="paragraph" w:customStyle="1" w:styleId="27">
    <w:name w:val="Table Paragraph"/>
    <w:basedOn w:val="1"/>
    <w:qFormat/>
    <w:uiPriority w:val="1"/>
  </w:style>
  <w:style w:type="character" w:customStyle="1" w:styleId="28">
    <w:name w:val="页眉 字符"/>
    <w:basedOn w:val="15"/>
    <w:link w:val="11"/>
    <w:qFormat/>
    <w:uiPriority w:val="99"/>
    <w:rPr>
      <w:rFonts w:ascii="Times New Roman" w:hAnsi="Times New Roman" w:eastAsia="Times New Roman" w:cs="Times New Roman"/>
      <w:kern w:val="0"/>
      <w:sz w:val="18"/>
      <w:szCs w:val="18"/>
      <w:lang w:eastAsia="en-US" w:bidi="en-US"/>
    </w:rPr>
  </w:style>
  <w:style w:type="character" w:customStyle="1" w:styleId="29">
    <w:name w:val="页脚 字符"/>
    <w:basedOn w:val="15"/>
    <w:link w:val="10"/>
    <w:qFormat/>
    <w:uiPriority w:val="99"/>
    <w:rPr>
      <w:rFonts w:ascii="Times New Roman" w:hAnsi="Times New Roman" w:eastAsia="Times New Roman" w:cs="Times New Roman"/>
      <w:kern w:val="0"/>
      <w:sz w:val="18"/>
      <w:szCs w:val="18"/>
      <w:lang w:eastAsia="en-US" w:bidi="en-US"/>
    </w:rPr>
  </w:style>
  <w:style w:type="character" w:customStyle="1" w:styleId="30">
    <w:name w:val="标题 5 字符"/>
    <w:basedOn w:val="15"/>
    <w:link w:val="6"/>
    <w:semiHidden/>
    <w:qFormat/>
    <w:uiPriority w:val="9"/>
    <w:rPr>
      <w:rFonts w:ascii="Times New Roman" w:hAnsi="Times New Roman" w:eastAsia="Times New Roman" w:cs="Times New Roman"/>
      <w:b/>
      <w:bCs/>
      <w:kern w:val="0"/>
      <w:sz w:val="28"/>
      <w:szCs w:val="28"/>
      <w:lang w:eastAsia="en-US" w:bidi="en-US"/>
    </w:rPr>
  </w:style>
  <w:style w:type="paragraph" w:styleId="31">
    <w:name w:val="No Spacing"/>
    <w:qFormat/>
    <w:uiPriority w:val="1"/>
    <w:pPr>
      <w:widowControl w:val="0"/>
      <w:autoSpaceDE w:val="0"/>
      <w:autoSpaceDN w:val="0"/>
    </w:pPr>
    <w:rPr>
      <w:rFonts w:ascii="Times New Roman" w:hAnsi="Times New Roman" w:eastAsia="Times New Roman" w:cs="Times New Roman"/>
      <w:sz w:val="22"/>
      <w:szCs w:val="22"/>
      <w:lang w:val="en-US" w:eastAsia="en-US" w:bidi="en-US"/>
    </w:rPr>
  </w:style>
  <w:style w:type="character" w:customStyle="1" w:styleId="32">
    <w:name w:val="标题 6 字符"/>
    <w:basedOn w:val="15"/>
    <w:link w:val="7"/>
    <w:qFormat/>
    <w:uiPriority w:val="1"/>
    <w:rPr>
      <w:rFonts w:ascii="Times New Roman" w:hAnsi="Times New Roman" w:eastAsia="Times New Roman" w:cs="Times New Roman"/>
      <w:b/>
      <w:bCs/>
      <w:kern w:val="0"/>
      <w:szCs w:val="21"/>
      <w:lang w:eastAsia="en-US" w:bidi="en-US"/>
    </w:rPr>
  </w:style>
  <w:style w:type="character" w:customStyle="1" w:styleId="33">
    <w:name w:val="明显强调1"/>
    <w:basedOn w:val="15"/>
    <w:qFormat/>
    <w:uiPriority w:val="21"/>
    <w:rPr>
      <w:i/>
      <w:iCs/>
      <w:color w:val="5B9BD5" w:themeColor="accent1"/>
      <w14:textFill>
        <w14:solidFill>
          <w14:schemeClr w14:val="accent1"/>
        </w14:solidFill>
      </w14:textFill>
    </w:rPr>
  </w:style>
  <w:style w:type="character" w:customStyle="1" w:styleId="34">
    <w:name w:val="不明显强调1"/>
    <w:basedOn w:val="15"/>
    <w:qFormat/>
    <w:uiPriority w:val="19"/>
    <w:rPr>
      <w:i/>
      <w:iCs/>
      <w:color w:val="404040" w:themeColor="text1" w:themeTint="BF"/>
      <w14:textFill>
        <w14:solidFill>
          <w14:schemeClr w14:val="tx1">
            <w14:lumMod w14:val="75000"/>
            <w14:lumOff w14:val="25000"/>
          </w14:schemeClr>
        </w14:solidFill>
      </w14:textFill>
    </w:rPr>
  </w:style>
  <w:style w:type="character" w:customStyle="1" w:styleId="35">
    <w:name w:val="副标题 字符"/>
    <w:basedOn w:val="15"/>
    <w:link w:val="12"/>
    <w:qFormat/>
    <w:uiPriority w:val="11"/>
    <w:rPr>
      <w:b/>
      <w:bCs/>
      <w:kern w:val="28"/>
      <w:sz w:val="32"/>
      <w:szCs w:val="32"/>
      <w:lang w:eastAsia="en-US" w:bidi="en-US"/>
    </w:rPr>
  </w:style>
  <w:style w:type="character" w:customStyle="1" w:styleId="36">
    <w:name w:val="标题 7 字符"/>
    <w:basedOn w:val="15"/>
    <w:link w:val="8"/>
    <w:qFormat/>
    <w:uiPriority w:val="9"/>
    <w:rPr>
      <w:rFonts w:ascii="Times New Roman" w:hAnsi="Times New Roman" w:eastAsia="Times New Roman" w:cs="Times New Roman"/>
      <w:b/>
      <w:bCs/>
      <w:kern w:val="0"/>
      <w:sz w:val="24"/>
      <w:szCs w:val="24"/>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5478</Words>
  <Characters>33994</Characters>
  <Lines>321</Lines>
  <Paragraphs>90</Paragraphs>
  <TotalTime>62</TotalTime>
  <ScaleCrop>false</ScaleCrop>
  <LinksUpToDate>false</LinksUpToDate>
  <CharactersWithSpaces>39353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2023-02-26T01:16:00Z</dcterms:created>
  <dc:creator>admin</dc:creator>
  <cp:lastModifiedBy>树袋熊</cp:lastModifiedBy>
  <dcterms:modified xsi:type="dcterms:W3CDTF">2025-09-09T01:07:08Z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04419CFA88C343B68BBF040407680F9A_13</vt:lpwstr>
  </property>
  <property fmtid="{D5CDD505-2E9C-101B-9397-08002B2CF9AE}" pid="4" name="KSOTemplateDocerSaveRecord">
    <vt:lpwstr>eyJoZGlkIjoiNzNhZjJiODI2ZDZmMjQ1MWEyYWU5OGNiNWZhYTcyYTQiLCJ1c2VySWQiOiIxMjc3NTkxOTUzIn0=</vt:lpwstr>
  </property>
</Properties>
</file>