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7A324">
      <w:pPr>
        <w:keepNext w:val="0"/>
        <w:keepLines w:val="0"/>
        <w:pageBreakBefore w:val="0"/>
        <w:kinsoku/>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034EC9D3">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44"/>
          <w:szCs w:val="44"/>
          <w:lang w:val="en-US" w:eastAsia="zh-CN"/>
        </w:rPr>
      </w:pPr>
    </w:p>
    <w:p w14:paraId="7FF98B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关于《吉林省乡镇和街道综合行政</w:t>
      </w:r>
    </w:p>
    <w:p w14:paraId="30CA357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执法条例（草案征求意见稿）》的起草说明</w:t>
      </w:r>
    </w:p>
    <w:p w14:paraId="750E413C">
      <w:pPr>
        <w:keepNext w:val="0"/>
        <w:keepLines w:val="0"/>
        <w:pageBreakBefore w:val="0"/>
        <w:kinsoku/>
        <w:wordWrap/>
        <w:overflowPunct/>
        <w:topLinePunct w:val="0"/>
        <w:autoSpaceDE/>
        <w:autoSpaceDN/>
        <w:bidi w:val="0"/>
        <w:adjustRightInd/>
        <w:snapToGrid/>
        <w:spacing w:line="540" w:lineRule="exact"/>
        <w:ind w:firstLine="72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9317D5D">
      <w:pPr>
        <w:keepNext w:val="0"/>
        <w:keepLines w:val="0"/>
        <w:pageBreakBefore w:val="0"/>
        <w:kinsoku/>
        <w:wordWrap/>
        <w:overflowPunct/>
        <w:topLinePunct w:val="0"/>
        <w:autoSpaceDE/>
        <w:autoSpaceDN/>
        <w:bidi w:val="0"/>
        <w:adjustRightInd/>
        <w:snapToGrid/>
        <w:spacing w:line="540" w:lineRule="exact"/>
        <w:ind w:firstLine="72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基层治理是国家治理的基石</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深入推进乡镇和街道综合行政执法是实现基层治理体系和治理能力现代化的基础工程。为贯彻落实党的二十大、二十届二中、三中全会精神，根据年度立法工作计划，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省司法厅起草了《吉林省乡镇和街道综合行政执法条例（草案征求意见稿）》（以下简称《条例》），现将有关情况说明如下：</w:t>
      </w:r>
    </w:p>
    <w:p w14:paraId="49F17ABE">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一、制定《条例》的必要性</w:t>
      </w:r>
    </w:p>
    <w:p w14:paraId="597E19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highlight w:val="none"/>
          <w:lang w:val="en-US" w:eastAsia="zh-CN"/>
          <w14:textFill>
            <w14:solidFill>
              <w14:schemeClr w14:val="tx1"/>
            </w14:solidFill>
          </w14:textFill>
        </w:rPr>
        <w:t>一是行政执法体制改革的关键环节。</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习近平总书记</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强调</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指出，基层强则国家强，基层安则天下安，必须抓好基层治理现代化这项基础性工作。</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党的十八大以来，党中央、国务院多次对深化行政执法体制改革做出部署。党的二十大报告再次提出深化行政执法体制改革，完善基层综合执法体制机制。制定该《条例》不仅是地方立法的创新性实践，更是为构建高效协同的基层治理体系提供了强有力法治保障。</w:t>
      </w:r>
    </w:p>
    <w:p w14:paraId="44D086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highlight w:val="none"/>
          <w:lang w:val="en-US" w:eastAsia="zh-CN"/>
          <w14:textFill>
            <w14:solidFill>
              <w14:schemeClr w14:val="tx1"/>
            </w14:solidFill>
          </w14:textFill>
        </w:rPr>
        <w:t>二是规范基层综合行政执法行为的重要保障。</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省委、省政府</w:t>
      </w:r>
      <w:r>
        <w:rPr>
          <w:rFonts w:hint="eastAsia" w:ascii="仿宋_GB2312" w:hAnsi="仿宋_GB2312" w:eastAsia="仿宋_GB2312" w:cs="仿宋_GB2312"/>
          <w:sz w:val="32"/>
          <w:szCs w:val="32"/>
        </w:rPr>
        <w:t>把综合行政执法改革作为提升基层治理能力的头号工程，纳入省级重点工作统筹谋划，</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提出明确要求。为进一步增强改革的系统性、整体性和协同性，构建职责明确、集约高效、运作协调、规范有序的综合行政执法体系，有必要固化我省综合行政执法改革实践的成功做法和经验，</w:t>
      </w:r>
      <w:r>
        <w:rPr>
          <w:rFonts w:hint="eastAsia" w:ascii="仿宋_GB2312" w:hAnsi="仿宋_GB2312" w:eastAsia="仿宋_GB2312" w:cs="仿宋_GB2312"/>
          <w:sz w:val="32"/>
          <w:szCs w:val="32"/>
        </w:rPr>
        <w:t>更好服务吉林振兴大局。</w:t>
      </w:r>
    </w:p>
    <w:p w14:paraId="7F934E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pPr>
      <w:bookmarkStart w:id="0" w:name="_GoBack"/>
      <w:r>
        <w:rPr>
          <w:rFonts w:hint="eastAsia" w:ascii="仿宋_GB2312" w:hAnsi="仿宋_GB2312" w:eastAsia="仿宋_GB2312" w:cs="仿宋_GB2312"/>
          <w:b/>
          <w:bCs/>
          <w:i w:val="0"/>
          <w:iCs w:val="0"/>
          <w:caps w:val="0"/>
          <w:color w:val="000000" w:themeColor="text1"/>
          <w:spacing w:val="0"/>
          <w:sz w:val="32"/>
          <w:szCs w:val="32"/>
          <w:highlight w:val="none"/>
          <w:lang w:val="en-US" w:eastAsia="zh-CN"/>
          <w14:textFill>
            <w14:solidFill>
              <w14:schemeClr w14:val="tx1"/>
            </w14:solidFill>
          </w14:textFill>
        </w:rPr>
        <w:t>三是破解基层综合行政执法难题的务实举措。</w:t>
      </w:r>
      <w:bookmarkEnd w:id="0"/>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当前，我省乡镇和街道综合行政执法工作还存在执法体制不顺、协作机制不畅、执法队伍建设保障不足、执法人员“不会执法、不愿执法、不善执法”等突出问题，有必要坚持问题导向，</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破解</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乡镇和街道</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综合行政执法改革中的</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难点和堵点</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持续推动我省综合行政执法改革不断深化，取得实效。</w:t>
      </w:r>
    </w:p>
    <w:p w14:paraId="0E1B512E">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lang w:val="en-US" w:eastAsia="zh-CN"/>
          <w14:textFill>
            <w14:solidFill>
              <w14:schemeClr w14:val="tx1"/>
            </w14:solidFill>
          </w14:textFill>
        </w:rPr>
        <w:t>二、起草《条例》的过程</w:t>
      </w:r>
    </w:p>
    <w:p w14:paraId="02300E05">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通过搜集资料、立法调研等</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方式，积极开展《条例》起草工作。</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先后履行了征求意见、专家论证、风险评估等程序，</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结合实际，对各地各部门以及专家提出的意见，进行了</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修改完善，形成了《条例（草案征求意见稿）》</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w:t>
      </w:r>
    </w:p>
    <w:p w14:paraId="7185AE9F">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lang w:val="en-US" w:eastAsia="zh-CN"/>
          <w14:textFill>
            <w14:solidFill>
              <w14:schemeClr w14:val="tx1"/>
            </w14:solidFill>
          </w14:textFill>
        </w:rPr>
        <w:t>三、需要说明的几个问题</w:t>
      </w:r>
    </w:p>
    <w:p w14:paraId="55C9B2DB">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《条例》共八章、五十二条，</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按照</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乡镇和街道综合行政执法工作</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由谁干、干什么、怎么干、如何保障、承担什么责任”的逻辑</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明确了乡镇和街道</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综合行政执法的</w:t>
      </w:r>
      <w:r>
        <w:rPr>
          <w:rFonts w:hint="eastAsia" w:ascii="Times New Roman" w:hAnsi="Times New Roman" w:eastAsia="仿宋_GB2312" w:cs="Times New Roman"/>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主体</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事项、程序、制度、机制、保障、责任</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构建了乡镇和街道综合行政执法</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制度体系，</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同时，为继续深化综合行政执法改革预留了空间。《条例》的主要内容和特色亮点是：</w:t>
      </w:r>
    </w:p>
    <w:p w14:paraId="5605F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sz w:val="32"/>
          <w:szCs w:val="32"/>
          <w:highlight w:val="none"/>
          <w:lang w:val="en-US" w:eastAsia="zh-CN"/>
          <w14:textFill>
            <w14:solidFill>
              <w14:schemeClr w14:val="tx1"/>
            </w14:solidFill>
          </w14:textFill>
        </w:rPr>
        <w:t>（一）明确了综合行政执法事项。</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根据党中央关于建立“三张清单”制度的部署要求和司法部相关工作</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要求</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，《条例》第二章明确规定，乡镇和街道综合行政执法事项包括法定事项和赋权事项两类，应当纳入基本履职事项清单，经县级人民政府常务会议审议通过并向社会公布后实施。</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同时，对赋权事项实行分级评估制度，</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省人民政府负责对赋权事项指导目录进行评估调整，县级人民政府负责对赋权事项实施情况进行评估调整</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w:t>
      </w:r>
    </w:p>
    <w:p w14:paraId="30F263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sz w:val="32"/>
          <w:szCs w:val="32"/>
          <w:highlight w:val="none"/>
          <w:lang w:val="en-US" w:eastAsia="zh-CN"/>
          <w14:textFill>
            <w14:solidFill>
              <w14:schemeClr w14:val="tx1"/>
            </w14:solidFill>
          </w14:textFill>
        </w:rPr>
        <w:t>（二）细化法制审核制度落实举措。</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针对部分暂不具备独立开展法制审核条件的乡镇和街道，《条例》第三章</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规定，</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县级人民政府司法行政部门及相关部门应当加强指导，协助做好法制审核工作，确保执法程序规范。</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同时，</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具体列举</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了</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法制审核的主要内容，涵盖执法主体、事实认定、法律适用、程序规范等9项关键环节，增强法制审核工作的可操作性，为基层执法提供清晰指引，切实防范执法风险。</w:t>
      </w:r>
    </w:p>
    <w:p w14:paraId="7E30B7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sz w:val="32"/>
          <w:szCs w:val="32"/>
          <w:highlight w:val="none"/>
          <w:lang w:val="en-US" w:eastAsia="zh-CN"/>
          <w14:textFill>
            <w14:solidFill>
              <w14:schemeClr w14:val="tx1"/>
            </w14:solidFill>
          </w14:textFill>
        </w:rPr>
        <w:t>（三）理顺综合行政执法工作机制。</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为有效</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解决</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基层执法力量不足、专业性不强</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开展综合行政执法活动难度较大等问题</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《条例》</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第四章规定，</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乡镇和街道应当结合执法职责、工作要求等情况，有针对性的开展内部交流和岗位轮换，提升多领域综合行政执法能力</w:t>
      </w:r>
      <w:r>
        <w:rPr>
          <w:rFonts w:hint="eastAsia"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；同时，</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明确了乡镇、街道与县级人民政府有关部门之间的执法协助程序</w:t>
      </w:r>
      <w:r>
        <w:rPr>
          <w:rFonts w:hint="default"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设定答复时限，</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构建了整体联动、一体协同、运作协调、规范有序的基层综合行政执法工作格局。</w:t>
      </w:r>
    </w:p>
    <w:p w14:paraId="79B23F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sz w:val="32"/>
          <w:szCs w:val="32"/>
          <w:highlight w:val="none"/>
          <w:lang w:val="en-US" w:eastAsia="zh-CN"/>
          <w14:textFill>
            <w14:solidFill>
              <w14:schemeClr w14:val="tx1"/>
            </w14:solidFill>
          </w14:textFill>
        </w:rPr>
        <w:t>（四）夯实综合行政执法保障体系。</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为破解乡镇和街道开展综合行政执法</w:t>
      </w:r>
      <w:r>
        <w:rPr>
          <w:rFonts w:hint="default"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活动缺乏人、财、物</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、技术</w:t>
      </w:r>
      <w:r>
        <w:rPr>
          <w:rFonts w:hint="default"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保障的</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突出问题，《条例》第五章规定了县级人民政府应当根据本行政区域面积、人口规模、执法事项、案件数量等因素，制定行政执法保障标准，合理配置辖区内乡镇和街道行政执法资源和执法力量；</w:t>
      </w:r>
      <w:r>
        <w:rPr>
          <w:rFonts w:hint="eastAsia" w:ascii="仿宋_GB2312" w:hAnsi="仿宋_GB2312" w:eastAsia="仿宋_GB2312" w:cs="仿宋_GB2312"/>
          <w:sz w:val="32"/>
          <w:szCs w:val="32"/>
          <w:lang w:eastAsia="zh-CN"/>
        </w:rPr>
        <w:t>县级以上人民政府有关部门应当加强业务指导和监督，对需要鉴定、检验、检测、检疫的，应当给予支持和保障；</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乡镇和街道可以按照规定程序和权限合理配置行政执法辅助人员，</w:t>
      </w:r>
      <w:r>
        <w:rPr>
          <w:rFonts w:hint="eastAsia" w:ascii="仿宋_GB2312" w:hAnsi="仿宋_GB2312" w:eastAsia="仿宋_GB2312" w:cs="仿宋_GB2312"/>
          <w:sz w:val="32"/>
          <w:szCs w:val="32"/>
        </w:rPr>
        <w:t>在行政执法人员的指挥和监督下，</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配合从事宣传教育、信息采集、后勤保障等工作。</w:t>
      </w:r>
    </w:p>
    <w:p w14:paraId="5CF9B80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u w:val="none"/>
          <w:shd w:val="clear" w:color="FFFFFF" w:fill="D9D9D9"/>
          <w:lang w:val="en-US" w:eastAsia="zh-CN"/>
        </w:rPr>
      </w:pPr>
      <w:r>
        <w:rPr>
          <w:rFonts w:hint="eastAsia" w:ascii="楷体_GB2312" w:hAnsi="楷体_GB2312" w:eastAsia="楷体_GB2312" w:cs="楷体_GB2312"/>
          <w:b w:val="0"/>
          <w:bCs w:val="0"/>
          <w:i w:val="0"/>
          <w:iCs w:val="0"/>
          <w:caps w:val="0"/>
          <w:color w:val="000000" w:themeColor="text1"/>
          <w:spacing w:val="0"/>
          <w:sz w:val="32"/>
          <w:szCs w:val="32"/>
          <w:highlight w:val="none"/>
          <w:lang w:val="en-US" w:eastAsia="zh-CN"/>
          <w14:textFill>
            <w14:solidFill>
              <w14:schemeClr w14:val="tx1"/>
            </w14:solidFill>
          </w14:textFill>
        </w:rPr>
        <w:t>（五）明确基层司法所协助监督职责。</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为深入贯彻落实中办国办关于加强行政执法协调监督工作体系建设的部署要求，《</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条例</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第六章</w:t>
      </w:r>
      <w:r>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t>明确规定，乡镇和街道司法所，针对不同性质的问题，有权采取及时劝阻、要求自行改正、向县级人民政府司法行政部门报告等方式，协助县级人民政府司法行政部门开展行政执法协调监督工作。切实将全面监督、内部监督、执法监督、协助监督、社会监督、考核监督有机贯通，构建全面完善的基层综合行政执法协调监督工作体系。</w:t>
      </w:r>
    </w:p>
    <w:p w14:paraId="16E49D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val="0"/>
          <w:bCs w:val="0"/>
          <w:i w:val="0"/>
          <w:iCs w:val="0"/>
          <w:caps w:val="0"/>
          <w:color w:val="000000" w:themeColor="text1"/>
          <w:spacing w:val="0"/>
          <w:sz w:val="32"/>
          <w:szCs w:val="32"/>
          <w:highlight w:val="none"/>
          <w:lang w:val="en-US" w:eastAsia="zh-CN"/>
          <w14:textFill>
            <w14:solidFill>
              <w14:schemeClr w14:val="tx1"/>
            </w14:solidFill>
          </w14:textFill>
        </w:rPr>
        <w:t>（六）规范三类综合行政执法文书格式。</w:t>
      </w:r>
      <w:r>
        <w:rPr>
          <w:rFonts w:hint="eastAsia" w:ascii="仿宋_GB2312" w:hAnsi="仿宋_GB2312" w:eastAsia="仿宋_GB2312" w:cs="仿宋_GB2312"/>
          <w:bCs/>
          <w:sz w:val="32"/>
          <w:szCs w:val="32"/>
          <w:lang w:eastAsia="zh-CN"/>
        </w:rPr>
        <w:t>为全面规范综合行政执法工作和程序，《条例》明确，综合行政执法文书、赋权事项承接书、综合行政执法协助函等三类重要文书样式，由省级司法行政部门统一制定，确保全省执法文书格式统一、要素齐全，赋权事项有序承接，跨部门协作机制运行顺畅，</w:t>
      </w:r>
      <w:r>
        <w:rPr>
          <w:rFonts w:hint="eastAsia" w:ascii="仿宋_GB2312" w:hAnsi="仿宋_GB2312" w:eastAsia="仿宋_GB2312" w:cs="仿宋_GB2312"/>
          <w:sz w:val="32"/>
          <w:szCs w:val="32"/>
        </w:rPr>
        <w:t>切实兜住综合行政执法需求底线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推动全省综合行政执法改革</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取得新的突破性进展</w:t>
      </w:r>
      <w:r>
        <w:rPr>
          <w:rFonts w:hint="eastAsia" w:ascii="仿宋_GB2312" w:hAnsi="仿宋_GB2312" w:eastAsia="仿宋_GB2312" w:cs="仿宋_GB2312"/>
          <w:sz w:val="32"/>
          <w:szCs w:val="32"/>
          <w:lang w:eastAsia="zh-CN"/>
        </w:rPr>
        <w:t>。</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716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1986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1986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YmU2MWY3NDNjMTM2YjdiMzdiYmFiMTJhMmI1YmQifQ=="/>
  </w:docVars>
  <w:rsids>
    <w:rsidRoot w:val="00000000"/>
    <w:rsid w:val="020E5042"/>
    <w:rsid w:val="02DD59A1"/>
    <w:rsid w:val="06894004"/>
    <w:rsid w:val="0A29781D"/>
    <w:rsid w:val="0DAD3850"/>
    <w:rsid w:val="13C53D37"/>
    <w:rsid w:val="197B2C57"/>
    <w:rsid w:val="1DDE09FD"/>
    <w:rsid w:val="1F37C1E5"/>
    <w:rsid w:val="22E55758"/>
    <w:rsid w:val="23BC1C3A"/>
    <w:rsid w:val="23C31654"/>
    <w:rsid w:val="269C75DD"/>
    <w:rsid w:val="279A8C2D"/>
    <w:rsid w:val="28504C04"/>
    <w:rsid w:val="28AB67FB"/>
    <w:rsid w:val="2DDD477C"/>
    <w:rsid w:val="2DE41BE0"/>
    <w:rsid w:val="2EBFFDFD"/>
    <w:rsid w:val="2F4B29A6"/>
    <w:rsid w:val="2F707CD0"/>
    <w:rsid w:val="2F7BF2C4"/>
    <w:rsid w:val="2F7F7949"/>
    <w:rsid w:val="314D3BCA"/>
    <w:rsid w:val="32FF0D71"/>
    <w:rsid w:val="33600421"/>
    <w:rsid w:val="34104792"/>
    <w:rsid w:val="361624CF"/>
    <w:rsid w:val="3623417A"/>
    <w:rsid w:val="37AA7B43"/>
    <w:rsid w:val="3BEEB619"/>
    <w:rsid w:val="3C2031B9"/>
    <w:rsid w:val="3CF73CB2"/>
    <w:rsid w:val="3CFFC053"/>
    <w:rsid w:val="3DBA225D"/>
    <w:rsid w:val="3EF45DF1"/>
    <w:rsid w:val="3F7F2A74"/>
    <w:rsid w:val="3F7FA9B3"/>
    <w:rsid w:val="449572CC"/>
    <w:rsid w:val="48951425"/>
    <w:rsid w:val="49365AC2"/>
    <w:rsid w:val="4AAF5DE0"/>
    <w:rsid w:val="4AF40F34"/>
    <w:rsid w:val="4F752CF7"/>
    <w:rsid w:val="5115071C"/>
    <w:rsid w:val="566775F5"/>
    <w:rsid w:val="56D38EB6"/>
    <w:rsid w:val="585D6C16"/>
    <w:rsid w:val="5B186C9F"/>
    <w:rsid w:val="5B6B79C0"/>
    <w:rsid w:val="5BC4644A"/>
    <w:rsid w:val="5BCB9E28"/>
    <w:rsid w:val="5BDD1EFF"/>
    <w:rsid w:val="5C727245"/>
    <w:rsid w:val="5DD92402"/>
    <w:rsid w:val="5F7A4759"/>
    <w:rsid w:val="5FB131D7"/>
    <w:rsid w:val="5FB73B30"/>
    <w:rsid w:val="5FBF1259"/>
    <w:rsid w:val="5FC13D72"/>
    <w:rsid w:val="5FDFA3DE"/>
    <w:rsid w:val="5FEE3974"/>
    <w:rsid w:val="5FF9EBA1"/>
    <w:rsid w:val="5FFFFDC0"/>
    <w:rsid w:val="61683060"/>
    <w:rsid w:val="62AE3E93"/>
    <w:rsid w:val="649764D9"/>
    <w:rsid w:val="652B531C"/>
    <w:rsid w:val="65EF1719"/>
    <w:rsid w:val="68BD7D41"/>
    <w:rsid w:val="68E512BC"/>
    <w:rsid w:val="6CF6138B"/>
    <w:rsid w:val="6DDBA93F"/>
    <w:rsid w:val="6DF4510A"/>
    <w:rsid w:val="6EDBFDBF"/>
    <w:rsid w:val="6EEB1285"/>
    <w:rsid w:val="6FDEB79E"/>
    <w:rsid w:val="6FFFFDEB"/>
    <w:rsid w:val="736D9759"/>
    <w:rsid w:val="747F6AAD"/>
    <w:rsid w:val="76FAD997"/>
    <w:rsid w:val="77046EBB"/>
    <w:rsid w:val="77FF4110"/>
    <w:rsid w:val="7ABC7DDE"/>
    <w:rsid w:val="7B3FDFEC"/>
    <w:rsid w:val="7BBD028C"/>
    <w:rsid w:val="7BD5ADDB"/>
    <w:rsid w:val="7BE3198B"/>
    <w:rsid w:val="7BFF17A4"/>
    <w:rsid w:val="7C1FB375"/>
    <w:rsid w:val="7C5FBCFC"/>
    <w:rsid w:val="7C9F2A93"/>
    <w:rsid w:val="7CEE9DF5"/>
    <w:rsid w:val="7D7715EB"/>
    <w:rsid w:val="7D895972"/>
    <w:rsid w:val="7DE36E04"/>
    <w:rsid w:val="7DF34BE0"/>
    <w:rsid w:val="7EEFAF8F"/>
    <w:rsid w:val="7F459E75"/>
    <w:rsid w:val="7FBFCC18"/>
    <w:rsid w:val="7FD7ECB3"/>
    <w:rsid w:val="7FE4C9EC"/>
    <w:rsid w:val="7FEEF297"/>
    <w:rsid w:val="7FF45E26"/>
    <w:rsid w:val="7FFD8A13"/>
    <w:rsid w:val="83FD9B33"/>
    <w:rsid w:val="9F2FD2AE"/>
    <w:rsid w:val="9FEF76FF"/>
    <w:rsid w:val="9FFB87AE"/>
    <w:rsid w:val="A6FAC1EC"/>
    <w:rsid w:val="A9B7CAFC"/>
    <w:rsid w:val="AFF65B03"/>
    <w:rsid w:val="AFFF02FD"/>
    <w:rsid w:val="B5DEA21E"/>
    <w:rsid w:val="BD7C1206"/>
    <w:rsid w:val="BDCD18E6"/>
    <w:rsid w:val="BE7DF3D7"/>
    <w:rsid w:val="BEBE66E1"/>
    <w:rsid w:val="BFDC2010"/>
    <w:rsid w:val="BFFBE208"/>
    <w:rsid w:val="BFFD6E4A"/>
    <w:rsid w:val="BFFDFEE6"/>
    <w:rsid w:val="BFFF34CB"/>
    <w:rsid w:val="BFFF521A"/>
    <w:rsid w:val="CE3B2BC2"/>
    <w:rsid w:val="CE7E094E"/>
    <w:rsid w:val="CFFF48D0"/>
    <w:rsid w:val="D9FE35EB"/>
    <w:rsid w:val="DD75C6E1"/>
    <w:rsid w:val="DDE746E8"/>
    <w:rsid w:val="DE0B10ED"/>
    <w:rsid w:val="DE5FC848"/>
    <w:rsid w:val="DFDD6D62"/>
    <w:rsid w:val="DFEED3D6"/>
    <w:rsid w:val="DFFFC6BF"/>
    <w:rsid w:val="E69714AC"/>
    <w:rsid w:val="E7AFEE00"/>
    <w:rsid w:val="E7DD9870"/>
    <w:rsid w:val="E7F61DCE"/>
    <w:rsid w:val="E8EA2B52"/>
    <w:rsid w:val="EBCABF2B"/>
    <w:rsid w:val="EE2529BF"/>
    <w:rsid w:val="EE7F0D1C"/>
    <w:rsid w:val="EFDF3E49"/>
    <w:rsid w:val="F17F9190"/>
    <w:rsid w:val="F1F7878F"/>
    <w:rsid w:val="F3B36A8A"/>
    <w:rsid w:val="F3BFB0E4"/>
    <w:rsid w:val="F3EFC4AA"/>
    <w:rsid w:val="F5FF71E0"/>
    <w:rsid w:val="F6DF5390"/>
    <w:rsid w:val="F7650298"/>
    <w:rsid w:val="F7BFC17A"/>
    <w:rsid w:val="F7EB35A2"/>
    <w:rsid w:val="F7F9CABF"/>
    <w:rsid w:val="F7FBF6DE"/>
    <w:rsid w:val="F9BB30B4"/>
    <w:rsid w:val="F9FDE60C"/>
    <w:rsid w:val="FBBF498B"/>
    <w:rsid w:val="FDDFEBB9"/>
    <w:rsid w:val="FEBFCCC4"/>
    <w:rsid w:val="FF2F7752"/>
    <w:rsid w:val="FF3B26A9"/>
    <w:rsid w:val="FF5B3F1D"/>
    <w:rsid w:val="FF5BD966"/>
    <w:rsid w:val="FFBF4008"/>
    <w:rsid w:val="FFEED584"/>
    <w:rsid w:val="FFFDC507"/>
    <w:rsid w:val="FFFDF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Calibri" w:hAnsi="Calibri" w:eastAsia="宋体" w:cs="黑体"/>
    </w:rPr>
  </w:style>
  <w:style w:type="paragraph" w:styleId="4">
    <w:name w:val="Body Text First Indent"/>
    <w:basedOn w:val="3"/>
    <w:next w:val="1"/>
    <w:qFormat/>
    <w:uiPriority w:val="0"/>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HTML Definition"/>
    <w:basedOn w:val="9"/>
    <w:qFormat/>
    <w:uiPriority w:val="0"/>
  </w:style>
  <w:style w:type="character" w:styleId="13">
    <w:name w:val="HTML Variable"/>
    <w:basedOn w:val="9"/>
    <w:qFormat/>
    <w:uiPriority w:val="0"/>
  </w:style>
  <w:style w:type="character" w:styleId="14">
    <w:name w:val="Hyperlink"/>
    <w:basedOn w:val="9"/>
    <w:qFormat/>
    <w:uiPriority w:val="0"/>
    <w:rPr>
      <w:color w:val="000000"/>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character" w:customStyle="1" w:styleId="17">
    <w:name w:val="font-zyygwj"/>
    <w:basedOn w:val="9"/>
    <w:qFormat/>
    <w:uiPriority w:val="0"/>
  </w:style>
  <w:style w:type="character" w:customStyle="1" w:styleId="18">
    <w:name w:val="tabg"/>
    <w:basedOn w:val="9"/>
    <w:qFormat/>
    <w:uiPriority w:val="0"/>
    <w:rPr>
      <w:color w:val="FFFFFF"/>
      <w:sz w:val="27"/>
      <w:szCs w:val="27"/>
    </w:rPr>
  </w:style>
  <w:style w:type="character" w:customStyle="1" w:styleId="19">
    <w:name w:val="font"/>
    <w:basedOn w:val="9"/>
    <w:qFormat/>
    <w:uiPriority w:val="0"/>
  </w:style>
  <w:style w:type="character" w:customStyle="1" w:styleId="20">
    <w:name w:val="font1"/>
    <w:basedOn w:val="9"/>
    <w:qFormat/>
    <w:uiPriority w:val="0"/>
  </w:style>
  <w:style w:type="character" w:customStyle="1" w:styleId="21">
    <w:name w:val="laypage_curr"/>
    <w:basedOn w:val="9"/>
    <w:qFormat/>
    <w:uiPriority w:val="0"/>
    <w:rPr>
      <w:color w:val="FFFDF4"/>
      <w:sz w:val="42"/>
      <w:szCs w:val="42"/>
      <w:shd w:val="clear" w:fill="0B67A6"/>
    </w:rPr>
  </w:style>
  <w:style w:type="character" w:customStyle="1" w:styleId="22">
    <w:name w:val="place"/>
    <w:basedOn w:val="9"/>
    <w:qFormat/>
    <w:uiPriority w:val="0"/>
  </w:style>
  <w:style w:type="character" w:customStyle="1" w:styleId="23">
    <w:name w:val="place1"/>
    <w:basedOn w:val="9"/>
    <w:qFormat/>
    <w:uiPriority w:val="0"/>
    <w:rPr>
      <w:rFonts w:ascii="微软雅黑" w:hAnsi="微软雅黑" w:eastAsia="微软雅黑" w:cs="微软雅黑"/>
      <w:color w:val="888888"/>
      <w:sz w:val="25"/>
      <w:szCs w:val="25"/>
    </w:rPr>
  </w:style>
  <w:style w:type="character" w:customStyle="1" w:styleId="24">
    <w:name w:val="place2"/>
    <w:basedOn w:val="9"/>
    <w:qFormat/>
    <w:uiPriority w:val="0"/>
  </w:style>
  <w:style w:type="character" w:customStyle="1" w:styleId="25">
    <w:name w:val="place3"/>
    <w:basedOn w:val="9"/>
    <w:qFormat/>
    <w:uiPriority w:val="0"/>
  </w:style>
  <w:style w:type="character" w:customStyle="1" w:styleId="26">
    <w:name w:val="hover14"/>
    <w:basedOn w:val="9"/>
    <w:qFormat/>
    <w:uiPriority w:val="0"/>
    <w:rPr>
      <w:color w:val="025291"/>
    </w:rPr>
  </w:style>
  <w:style w:type="character" w:customStyle="1" w:styleId="27">
    <w:name w:val="on5"/>
    <w:basedOn w:val="9"/>
    <w:qFormat/>
    <w:uiPriority w:val="0"/>
    <w:rPr>
      <w:color w:val="FFFFFF"/>
      <w:shd w:val="clear" w:fill="0B67A6"/>
    </w:rPr>
  </w:style>
  <w:style w:type="character" w:customStyle="1" w:styleId="28">
    <w:name w:val="on6"/>
    <w:basedOn w:val="9"/>
    <w:qFormat/>
    <w:uiPriority w:val="0"/>
    <w:rPr>
      <w:b/>
      <w:bCs/>
      <w:color w:val="015293"/>
    </w:rPr>
  </w:style>
  <w:style w:type="character" w:customStyle="1" w:styleId="29">
    <w:name w:val="active&gt;i"/>
    <w:basedOn w:val="9"/>
    <w:qFormat/>
    <w:uiPriority w:val="0"/>
  </w:style>
  <w:style w:type="character" w:customStyle="1" w:styleId="30">
    <w:name w:val="bg01"/>
    <w:basedOn w:val="9"/>
    <w:qFormat/>
    <w:uiPriority w:val="0"/>
  </w:style>
  <w:style w:type="character" w:customStyle="1" w:styleId="31">
    <w:name w:val="bg02"/>
    <w:basedOn w:val="9"/>
    <w:qFormat/>
    <w:uiPriority w:val="0"/>
  </w:style>
  <w:style w:type="character" w:customStyle="1" w:styleId="32">
    <w:name w:val="noline"/>
    <w:basedOn w:val="9"/>
    <w:qFormat/>
    <w:uiPriority w:val="0"/>
  </w:style>
  <w:style w:type="character" w:customStyle="1" w:styleId="33">
    <w:name w:val="font_gjgzk"/>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7792</Words>
  <Characters>7847</Characters>
  <Lines>0</Lines>
  <Paragraphs>0</Paragraphs>
  <TotalTime>5</TotalTime>
  <ScaleCrop>false</ScaleCrop>
  <LinksUpToDate>false</LinksUpToDate>
  <CharactersWithSpaces>7857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2023-04-14T08:05:00Z</dcterms:created>
  <dc:creator>lenovo</dc:creator>
  <cp:lastModifiedBy>jlsft</cp:lastModifiedBy>
  <cp:lastPrinted>2025-05-09T16:12:00Z</cp:lastPrinted>
  <dcterms:modified xsi:type="dcterms:W3CDTF">2025-05-09T10:58:23Z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E8C0BECD05B9495F815F1EF7153EA3E1_12</vt:lpwstr>
  </property>
</Properties>
</file>