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eastAsia="仿宋"/>
          <w:sz w:val="32"/>
          <w:szCs w:val="32"/>
        </w:rPr>
      </w:pPr>
      <w:bookmarkStart w:id="0" w:name="_GoBack"/>
      <w:bookmarkEnd w:id="0"/>
      <w:r>
        <w:rPr>
          <w:rFonts w:hAnsi="仿宋" w:eastAsia="仿宋"/>
          <w:sz w:val="32"/>
          <w:szCs w:val="32"/>
        </w:rPr>
        <w:t>附件</w:t>
      </w:r>
    </w:p>
    <w:p>
      <w:pPr>
        <w:snapToGrid w:val="0"/>
        <w:spacing w:line="360" w:lineRule="auto"/>
        <w:jc w:val="center"/>
        <w:rPr>
          <w:rFonts w:eastAsia="方正小标宋简体"/>
          <w:sz w:val="44"/>
          <w:szCs w:val="44"/>
        </w:rPr>
      </w:pPr>
    </w:p>
    <w:p>
      <w:pPr>
        <w:snapToGrid w:val="0"/>
        <w:jc w:val="center"/>
        <w:rPr>
          <w:rFonts w:eastAsia="方正小标宋简体"/>
          <w:sz w:val="44"/>
          <w:szCs w:val="44"/>
        </w:rPr>
      </w:pPr>
      <w:r>
        <w:rPr>
          <w:rFonts w:hint="eastAsia" w:hAnsi="方正小标宋简体" w:eastAsia="方正小标宋简体"/>
          <w:sz w:val="44"/>
          <w:szCs w:val="44"/>
        </w:rPr>
        <w:t>吉林省车船税实施办法</w:t>
      </w:r>
    </w:p>
    <w:p>
      <w:pPr>
        <w:snapToGrid w:val="0"/>
        <w:spacing w:beforeLines="50" w:afterLines="50"/>
        <w:ind w:left="-20" w:leftChars="-67" w:hanging="141" w:hangingChars="44"/>
        <w:jc w:val="center"/>
        <w:rPr>
          <w:rFonts w:eastAsia="仿宋_GB2312"/>
          <w:sz w:val="32"/>
          <w:szCs w:val="32"/>
        </w:rPr>
      </w:pPr>
      <w:r>
        <w:rPr>
          <w:rFonts w:hAnsi="仿宋_GB2312" w:eastAsia="仿宋_GB2312"/>
          <w:sz w:val="32"/>
          <w:szCs w:val="32"/>
        </w:rPr>
        <w:t>（征求意见稿）</w:t>
      </w:r>
    </w:p>
    <w:p>
      <w:pPr>
        <w:snapToGrid w:val="0"/>
        <w:spacing w:beforeLines="100" w:afterLines="100" w:line="360" w:lineRule="auto"/>
        <w:jc w:val="center"/>
        <w:rPr>
          <w:rFonts w:eastAsia="黑体"/>
          <w:sz w:val="32"/>
          <w:szCs w:val="32"/>
        </w:rPr>
      </w:pPr>
      <w:r>
        <w:rPr>
          <w:rFonts w:hAnsi="黑体" w:eastAsia="黑体"/>
          <w:sz w:val="32"/>
          <w:szCs w:val="32"/>
        </w:rPr>
        <w:t>第一章</w:t>
      </w:r>
      <w:r>
        <w:rPr>
          <w:rFonts w:eastAsia="黑体"/>
          <w:sz w:val="32"/>
          <w:szCs w:val="32"/>
        </w:rPr>
        <w:t xml:space="preserve"> </w:t>
      </w:r>
      <w:r>
        <w:rPr>
          <w:rFonts w:hAnsi="黑体" w:eastAsia="黑体"/>
          <w:sz w:val="32"/>
          <w:szCs w:val="32"/>
        </w:rPr>
        <w:t>总</w:t>
      </w:r>
      <w:r>
        <w:rPr>
          <w:rFonts w:eastAsia="黑体"/>
          <w:sz w:val="32"/>
          <w:szCs w:val="32"/>
        </w:rPr>
        <w:t xml:space="preserve"> </w:t>
      </w:r>
      <w:r>
        <w:rPr>
          <w:rFonts w:hAnsi="黑体" w:eastAsia="黑体"/>
          <w:sz w:val="32"/>
          <w:szCs w:val="32"/>
        </w:rPr>
        <w:t>则</w:t>
      </w:r>
    </w:p>
    <w:p>
      <w:pPr>
        <w:snapToGrid w:val="0"/>
        <w:spacing w:beforeLines="50" w:afterLines="50" w:line="360" w:lineRule="auto"/>
        <w:ind w:firstLine="640" w:firstLineChars="200"/>
        <w:jc w:val="left"/>
        <w:rPr>
          <w:rFonts w:eastAsia="仿宋_GB2312"/>
          <w:sz w:val="32"/>
          <w:szCs w:val="32"/>
        </w:rPr>
      </w:pPr>
      <w:r>
        <w:rPr>
          <w:rFonts w:hAnsi="黑体" w:eastAsia="黑体"/>
          <w:sz w:val="32"/>
          <w:szCs w:val="32"/>
        </w:rPr>
        <w:t>第一条</w:t>
      </w:r>
      <w:r>
        <w:rPr>
          <w:rFonts w:hint="eastAsia" w:hAnsi="黑体" w:eastAsia="黑体"/>
          <w:sz w:val="32"/>
          <w:szCs w:val="32"/>
        </w:rPr>
        <w:t xml:space="preserve"> </w:t>
      </w:r>
      <w:r>
        <w:rPr>
          <w:rFonts w:hint="eastAsia" w:hAnsi="仿宋_GB2312" w:eastAsia="仿宋_GB2312"/>
          <w:sz w:val="32"/>
          <w:szCs w:val="32"/>
        </w:rPr>
        <w:t>根据《中华人民共和国车船税法》《中华人民共和国车船税法实施条例》规定，结合本省实际情况，制定本办法</w:t>
      </w:r>
      <w:r>
        <w:rPr>
          <w:rFonts w:hAnsi="仿宋_GB2312" w:eastAsia="仿宋_GB2312"/>
          <w:sz w:val="32"/>
          <w:szCs w:val="32"/>
        </w:rPr>
        <w:t>。</w:t>
      </w:r>
    </w:p>
    <w:p>
      <w:pPr>
        <w:snapToGrid w:val="0"/>
        <w:spacing w:beforeLines="50" w:afterLines="50" w:line="360" w:lineRule="auto"/>
        <w:ind w:firstLine="640" w:firstLineChars="200"/>
        <w:jc w:val="left"/>
        <w:rPr>
          <w:rFonts w:eastAsia="仿宋_GB2312"/>
          <w:sz w:val="32"/>
          <w:szCs w:val="32"/>
        </w:rPr>
      </w:pPr>
      <w:r>
        <w:rPr>
          <w:rFonts w:hAnsi="黑体" w:eastAsia="黑体"/>
          <w:sz w:val="32"/>
          <w:szCs w:val="32"/>
        </w:rPr>
        <w:t>第二条</w:t>
      </w:r>
      <w:r>
        <w:rPr>
          <w:rFonts w:eastAsia="仿宋_GB2312"/>
          <w:sz w:val="32"/>
          <w:szCs w:val="32"/>
        </w:rPr>
        <w:t xml:space="preserve"> </w:t>
      </w:r>
      <w:r>
        <w:rPr>
          <w:rFonts w:hint="eastAsia" w:hAnsi="仿宋_GB2312" w:eastAsia="仿宋_GB2312"/>
          <w:sz w:val="32"/>
          <w:szCs w:val="32"/>
        </w:rPr>
        <w:t>本省行政区域内，车辆、船舶的所有人或者管理人为车船税的纳税人，应当依照《中华人民共和国车船税法》《中华人民共和国车船税法实施条例》和本办法的规定缴纳车船税。本办法所称车船，是指属于《中华人民共和国车船税法》《中华人民共和国车船税法实施条例》征税范围内的车辆和船舶</w:t>
      </w:r>
      <w:r>
        <w:rPr>
          <w:rFonts w:hAnsi="仿宋_GB2312" w:eastAsia="仿宋_GB2312"/>
          <w:sz w:val="32"/>
          <w:szCs w:val="32"/>
        </w:rPr>
        <w:t>。</w:t>
      </w:r>
    </w:p>
    <w:p>
      <w:pPr>
        <w:snapToGrid w:val="0"/>
        <w:spacing w:beforeLines="50" w:afterLines="50" w:line="360" w:lineRule="auto"/>
        <w:ind w:firstLine="640" w:firstLineChars="200"/>
        <w:jc w:val="left"/>
        <w:rPr>
          <w:rFonts w:hint="eastAsia" w:hAnsi="仿宋_GB2312" w:eastAsia="仿宋_GB2312"/>
          <w:sz w:val="32"/>
          <w:szCs w:val="32"/>
        </w:rPr>
      </w:pPr>
      <w:r>
        <w:rPr>
          <w:rFonts w:hAnsi="黑体" w:eastAsia="黑体"/>
          <w:sz w:val="32"/>
          <w:szCs w:val="32"/>
        </w:rPr>
        <w:t>第三条</w:t>
      </w:r>
      <w:r>
        <w:rPr>
          <w:rFonts w:hint="eastAsia" w:hAnsi="黑体" w:eastAsia="黑体"/>
          <w:sz w:val="32"/>
          <w:szCs w:val="32"/>
        </w:rPr>
        <w:t xml:space="preserve"> </w:t>
      </w:r>
      <w:r>
        <w:rPr>
          <w:rFonts w:hint="eastAsia" w:hAnsi="仿宋_GB2312" w:eastAsia="仿宋_GB2312"/>
          <w:sz w:val="32"/>
          <w:szCs w:val="32"/>
        </w:rPr>
        <w:t>车船的具体适用税额，依照本办法所附《吉林省车船税税目税额表》执行。</w:t>
      </w:r>
    </w:p>
    <w:p>
      <w:pPr>
        <w:snapToGrid w:val="0"/>
        <w:spacing w:beforeLines="50" w:afterLines="50" w:line="360" w:lineRule="auto"/>
        <w:ind w:firstLine="640" w:firstLineChars="200"/>
        <w:jc w:val="left"/>
        <w:rPr>
          <w:rFonts w:eastAsia="仿宋_GB2312"/>
          <w:sz w:val="32"/>
          <w:szCs w:val="32"/>
        </w:rPr>
      </w:pPr>
      <w:r>
        <w:rPr>
          <w:rFonts w:hint="eastAsia" w:hAnsi="仿宋_GB2312" w:eastAsia="仿宋_GB2312"/>
          <w:sz w:val="32"/>
          <w:szCs w:val="32"/>
        </w:rPr>
        <w:t>省人民政府财政主管部门、税务主管部门可以根据经济发展程度等情况，按照法律法规等规定，相应调整本省车船税的具体适用税额，报省人民政府批准后执行。</w:t>
      </w:r>
    </w:p>
    <w:p>
      <w:pPr>
        <w:snapToGrid w:val="0"/>
        <w:spacing w:beforeLines="50" w:afterLines="50" w:line="360" w:lineRule="auto"/>
        <w:ind w:firstLine="640" w:firstLineChars="200"/>
        <w:jc w:val="left"/>
        <w:rPr>
          <w:rFonts w:hint="eastAsia" w:hAnsi="仿宋_GB2312" w:eastAsia="仿宋_GB2312"/>
          <w:sz w:val="32"/>
          <w:szCs w:val="32"/>
        </w:rPr>
      </w:pPr>
      <w:r>
        <w:rPr>
          <w:rFonts w:hAnsi="黑体" w:eastAsia="黑体"/>
          <w:sz w:val="32"/>
          <w:szCs w:val="32"/>
        </w:rPr>
        <w:t>第四条</w:t>
      </w:r>
      <w:r>
        <w:rPr>
          <w:rFonts w:hint="eastAsia" w:hAnsi="黑体" w:eastAsia="黑体"/>
          <w:sz w:val="32"/>
          <w:szCs w:val="32"/>
        </w:rPr>
        <w:t xml:space="preserve"> </w:t>
      </w:r>
      <w:r>
        <w:rPr>
          <w:rFonts w:hint="eastAsia" w:hAnsi="仿宋_GB2312" w:eastAsia="仿宋_GB2312"/>
          <w:sz w:val="32"/>
          <w:szCs w:val="32"/>
        </w:rPr>
        <w:t>下列车船免征车船税：</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（一）捕捞、养殖渔船；</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（二）军队、武装警察部队专用的车船；</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（三）警用车船；</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（四）悬挂应急救援专用号牌的国家综合性消防救援车辆和国家综合性消防救援专用船舶；</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（五）依照法律规定应当予以免税的外国驻华使领馆、国际组织驻华代表机构及其有关人员的车船；</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（六）法律、行政法规规定的其他车船。</w:t>
      </w:r>
    </w:p>
    <w:p>
      <w:pPr>
        <w:snapToGrid w:val="0"/>
        <w:spacing w:beforeLines="50" w:afterLines="50" w:line="360" w:lineRule="auto"/>
        <w:ind w:firstLine="640" w:firstLineChars="200"/>
        <w:jc w:val="left"/>
        <w:rPr>
          <w:rFonts w:eastAsia="仿宋_GB2312"/>
          <w:sz w:val="32"/>
          <w:szCs w:val="32"/>
        </w:rPr>
      </w:pPr>
      <w:r>
        <w:rPr>
          <w:rFonts w:hint="eastAsia" w:hAnsi="仿宋_GB2312" w:eastAsia="仿宋_GB2312"/>
          <w:sz w:val="32"/>
          <w:szCs w:val="32"/>
        </w:rPr>
        <w:t>节约能源、使用新能源的车船可以免征或者减半征收车船税。免征或者减半征收车船税的车船的具体范围，依照国家相关规定执行。</w:t>
      </w:r>
    </w:p>
    <w:p>
      <w:pPr>
        <w:snapToGrid w:val="0"/>
        <w:spacing w:beforeLines="50" w:afterLines="50" w:line="360" w:lineRule="auto"/>
        <w:ind w:firstLine="640" w:firstLineChars="200"/>
        <w:jc w:val="left"/>
        <w:rPr>
          <w:rFonts w:hint="eastAsia" w:hAnsi="仿宋_GB2312" w:eastAsia="仿宋_GB2312"/>
          <w:sz w:val="32"/>
          <w:szCs w:val="32"/>
        </w:rPr>
      </w:pPr>
      <w:r>
        <w:rPr>
          <w:rFonts w:hAnsi="黑体" w:eastAsia="黑体"/>
          <w:sz w:val="32"/>
          <w:szCs w:val="32"/>
        </w:rPr>
        <w:t>第五条</w:t>
      </w:r>
      <w:r>
        <w:rPr>
          <w:rFonts w:hint="eastAsia" w:hAnsi="黑体" w:eastAsia="黑体"/>
          <w:sz w:val="32"/>
          <w:szCs w:val="32"/>
        </w:rPr>
        <w:t xml:space="preserve"> </w:t>
      </w:r>
      <w:r>
        <w:rPr>
          <w:rFonts w:hint="eastAsia" w:hAnsi="仿宋_GB2312" w:eastAsia="仿宋_GB2312"/>
          <w:sz w:val="32"/>
          <w:szCs w:val="32"/>
        </w:rPr>
        <w:t>除本办法第四条规定的减免车船外，下列车船可以暂时减免征收车船税，暂免期限由省人民政府确定：</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（一）公共交通车船和校车；</w:t>
      </w:r>
    </w:p>
    <w:p>
      <w:pPr>
        <w:snapToGrid w:val="0"/>
        <w:spacing w:beforeLines="50" w:afterLines="50" w:line="360" w:lineRule="auto"/>
        <w:ind w:firstLine="640" w:firstLineChars="200"/>
        <w:jc w:val="left"/>
        <w:rPr>
          <w:rFonts w:hint="eastAsia" w:hAnsi="仿宋_GB2312" w:eastAsia="仿宋_GB2312"/>
          <w:sz w:val="32"/>
          <w:szCs w:val="32"/>
        </w:rPr>
      </w:pPr>
      <w:r>
        <w:rPr>
          <w:rFonts w:hint="eastAsia" w:hAnsi="仿宋_GB2312" w:eastAsia="仿宋_GB2312"/>
          <w:sz w:val="32"/>
          <w:szCs w:val="32"/>
        </w:rPr>
        <w:t>（二）农村居民拥有并主要在农村地区使用的摩托车、三轮汽车和低速载货汽车；</w:t>
      </w:r>
    </w:p>
    <w:p>
      <w:pPr>
        <w:snapToGrid w:val="0"/>
        <w:spacing w:beforeLines="50" w:afterLines="50" w:line="360" w:lineRule="auto"/>
        <w:ind w:firstLine="640" w:firstLineChars="200"/>
        <w:jc w:val="left"/>
        <w:rPr>
          <w:rFonts w:eastAsia="仿宋_GB2312"/>
          <w:sz w:val="32"/>
          <w:szCs w:val="32"/>
        </w:rPr>
      </w:pPr>
      <w:r>
        <w:rPr>
          <w:rFonts w:hint="eastAsia" w:hAnsi="仿宋_GB2312" w:eastAsia="仿宋_GB2312"/>
          <w:sz w:val="32"/>
          <w:szCs w:val="32"/>
        </w:rPr>
        <w:t>（三）对受地震、洪涝等严重自然灾害影响，纳税困难以及其他特殊原因确需减免税的车船。</w:t>
      </w:r>
    </w:p>
    <w:p>
      <w:pPr>
        <w:snapToGrid w:val="0"/>
        <w:spacing w:beforeLines="50" w:afterLines="50" w:line="360" w:lineRule="auto"/>
        <w:ind w:firstLine="640" w:firstLineChars="200"/>
        <w:jc w:val="left"/>
        <w:rPr>
          <w:rFonts w:hint="eastAsia" w:hAnsi="仿宋_GB2312" w:eastAsia="仿宋_GB2312"/>
          <w:sz w:val="32"/>
          <w:szCs w:val="32"/>
        </w:rPr>
      </w:pPr>
      <w:r>
        <w:rPr>
          <w:rFonts w:hAnsi="黑体" w:eastAsia="黑体"/>
          <w:sz w:val="32"/>
          <w:szCs w:val="32"/>
        </w:rPr>
        <w:t>第六条</w:t>
      </w:r>
      <w:r>
        <w:rPr>
          <w:rFonts w:hint="eastAsia" w:hAnsi="黑体" w:eastAsia="黑体"/>
          <w:sz w:val="32"/>
          <w:szCs w:val="32"/>
        </w:rPr>
        <w:t xml:space="preserve"> </w:t>
      </w:r>
      <w:r>
        <w:rPr>
          <w:rFonts w:hint="eastAsia" w:hAnsi="仿宋_GB2312" w:eastAsia="仿宋_GB2312"/>
          <w:sz w:val="32"/>
          <w:szCs w:val="32"/>
        </w:rPr>
        <w:t>本办法第四条、第五条所列车船具体减免税项目的实施程序和条件由省财政主管部门、省税务主管部门依法共同确定。</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第七条</w:t>
      </w:r>
      <w:r>
        <w:rPr>
          <w:rFonts w:hint="eastAsia" w:eastAsia="仿宋_GB2312"/>
          <w:sz w:val="32"/>
          <w:szCs w:val="32"/>
        </w:rPr>
        <w:t xml:space="preserve"> 车船税由税务机关负责征收。</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第八条</w:t>
      </w:r>
      <w:r>
        <w:rPr>
          <w:rFonts w:hint="eastAsia" w:eastAsia="仿宋_GB2312"/>
          <w:sz w:val="32"/>
          <w:szCs w:val="32"/>
        </w:rPr>
        <w:t xml:space="preserve"> 从事机动车交通事故责任强制保险的保险机构为机动车车船税的扣缴义务人，应当依法代收代缴车船税。</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第九条</w:t>
      </w:r>
      <w:r>
        <w:rPr>
          <w:rFonts w:hint="eastAsia" w:eastAsia="仿宋_GB2312"/>
          <w:sz w:val="32"/>
          <w:szCs w:val="32"/>
        </w:rPr>
        <w:t xml:space="preserve"> 车船税按年申报缴纳，一次缴清全年税款。</w:t>
      </w:r>
    </w:p>
    <w:p>
      <w:pPr>
        <w:snapToGrid w:val="0"/>
        <w:spacing w:beforeLines="50" w:afterLines="50" w:line="360" w:lineRule="auto"/>
        <w:ind w:firstLine="640" w:firstLineChars="200"/>
        <w:jc w:val="left"/>
        <w:rPr>
          <w:rFonts w:hint="eastAsia" w:eastAsia="仿宋_GB2312"/>
          <w:sz w:val="32"/>
          <w:szCs w:val="32"/>
        </w:rPr>
      </w:pPr>
      <w:r>
        <w:rPr>
          <w:rFonts w:hint="eastAsia" w:eastAsia="仿宋_GB2312"/>
          <w:sz w:val="32"/>
          <w:szCs w:val="32"/>
        </w:rPr>
        <w:t>由扣缴义务人代收代缴车船税的，纳税人应当在办理机动车交通事故责任强制保险的同时缴纳车船税。</w:t>
      </w:r>
    </w:p>
    <w:p>
      <w:pPr>
        <w:snapToGrid w:val="0"/>
        <w:spacing w:beforeLines="50" w:afterLines="50" w:line="360" w:lineRule="auto"/>
        <w:ind w:firstLine="640" w:firstLineChars="200"/>
        <w:jc w:val="left"/>
        <w:rPr>
          <w:rFonts w:hint="eastAsia" w:eastAsia="仿宋_GB2312"/>
          <w:sz w:val="32"/>
          <w:szCs w:val="32"/>
        </w:rPr>
      </w:pPr>
      <w:r>
        <w:rPr>
          <w:rFonts w:hint="eastAsia" w:eastAsia="仿宋_GB2312"/>
          <w:sz w:val="32"/>
          <w:szCs w:val="32"/>
        </w:rPr>
        <w:t>由纳税人自行申报缴纳车船税的，应当于每年的12月31日前，申报缴纳当年的车船税。</w:t>
      </w:r>
    </w:p>
    <w:p>
      <w:pPr>
        <w:snapToGrid w:val="0"/>
        <w:spacing w:beforeLines="50" w:afterLines="50" w:line="360" w:lineRule="auto"/>
        <w:ind w:firstLine="640" w:firstLineChars="200"/>
        <w:jc w:val="left"/>
        <w:rPr>
          <w:rFonts w:hint="eastAsia" w:eastAsia="仿宋_GB2312"/>
          <w:sz w:val="32"/>
          <w:szCs w:val="32"/>
        </w:rPr>
      </w:pPr>
      <w:r>
        <w:rPr>
          <w:rFonts w:hint="eastAsia" w:eastAsia="仿宋_GB2312"/>
          <w:sz w:val="32"/>
          <w:szCs w:val="32"/>
        </w:rPr>
        <w:t>纳税人新购置车船未缴纳车船税的，应自车船纳税义务发生之次月15日前缴纳车船税。</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第十条</w:t>
      </w:r>
      <w:r>
        <w:rPr>
          <w:rFonts w:hint="eastAsia" w:eastAsia="仿宋_GB2312"/>
          <w:sz w:val="32"/>
          <w:szCs w:val="32"/>
        </w:rPr>
        <w:t xml:space="preserve"> 扣缴义务人的行业主管部门应当协助税务机关加强对代收代缴车船税工作的协调指导和监督管理。</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第十一条</w:t>
      </w:r>
      <w:r>
        <w:rPr>
          <w:rFonts w:hint="eastAsia" w:eastAsia="仿宋_GB2312"/>
          <w:sz w:val="32"/>
          <w:szCs w:val="32"/>
        </w:rPr>
        <w:t xml:space="preserve"> 公安、交通运输、农业、渔业等车船登记管理部门和车船税扣缴义务人的行业主管部门应当定期向税务机关提供与车船税征收有关的资料信息，协助做好车船税的征收管理工作。</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第十二条</w:t>
      </w:r>
      <w:r>
        <w:rPr>
          <w:rFonts w:hint="eastAsia" w:eastAsia="仿宋_GB2312"/>
          <w:sz w:val="32"/>
          <w:szCs w:val="32"/>
        </w:rPr>
        <w:t xml:space="preserve"> 公安机关交通管理部门在办理车辆相关登记和定期检验手续时，经核查，对没有提供依法纳税或者免税证明的，不予办理相关手续。</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第十三条</w:t>
      </w:r>
      <w:r>
        <w:rPr>
          <w:rFonts w:hint="eastAsia" w:eastAsia="仿宋_GB2312"/>
          <w:sz w:val="32"/>
          <w:szCs w:val="32"/>
        </w:rPr>
        <w:t xml:space="preserve"> 税务机关可以在车船登记管理部门、车船检验机构的办公场所集中办理车船税征收事宜。车船管理部门、车船检验机构对税务机关在其办公场所集中办理车船税征收事宜的，应当提供便利。</w:t>
      </w:r>
    </w:p>
    <w:p>
      <w:pPr>
        <w:snapToGrid w:val="0"/>
        <w:spacing w:beforeLines="50" w:afterLines="50" w:line="360" w:lineRule="auto"/>
        <w:ind w:firstLine="640" w:firstLineChars="200"/>
        <w:jc w:val="left"/>
        <w:rPr>
          <w:rFonts w:hint="eastAsia" w:eastAsia="仿宋_GB2312"/>
          <w:sz w:val="32"/>
          <w:szCs w:val="32"/>
        </w:rPr>
      </w:pPr>
      <w:r>
        <w:rPr>
          <w:rFonts w:hint="eastAsia" w:hAnsi="黑体" w:eastAsia="黑体"/>
          <w:sz w:val="32"/>
          <w:szCs w:val="32"/>
        </w:rPr>
        <w:t>第十四条</w:t>
      </w:r>
      <w:r>
        <w:rPr>
          <w:rFonts w:hint="eastAsia" w:eastAsia="仿宋_GB2312"/>
          <w:sz w:val="32"/>
          <w:szCs w:val="32"/>
        </w:rPr>
        <w:t xml:space="preserve"> 车船税的征收管理，依照 《中华人民共和国税收征收管理法》《中华人民共和国车船税法》《中华人民共和国车船税法实施条例》及本办法的规定执行。</w:t>
      </w:r>
    </w:p>
    <w:p>
      <w:pPr>
        <w:snapToGrid w:val="0"/>
        <w:spacing w:beforeLines="50" w:afterLines="50" w:line="360" w:lineRule="auto"/>
        <w:ind w:firstLine="640" w:firstLineChars="200"/>
        <w:jc w:val="left"/>
        <w:rPr>
          <w:rFonts w:eastAsia="仿宋_GB2312"/>
          <w:sz w:val="32"/>
          <w:szCs w:val="32"/>
        </w:rPr>
      </w:pPr>
      <w:r>
        <w:rPr>
          <w:rFonts w:hint="eastAsia" w:hAnsi="黑体" w:eastAsia="黑体"/>
          <w:sz w:val="32"/>
          <w:szCs w:val="32"/>
        </w:rPr>
        <w:t>第十五条</w:t>
      </w:r>
      <w:r>
        <w:rPr>
          <w:rFonts w:hint="eastAsia" w:eastAsia="仿宋_GB2312"/>
          <w:sz w:val="32"/>
          <w:szCs w:val="32"/>
        </w:rPr>
        <w:t xml:space="preserve"> 本办法自   年  月  日 起施行。2011年12月29日吉林省人民政府颁布的《吉林省车船税实施办法》同时废止。</w:t>
      </w:r>
    </w:p>
    <w:p>
      <w:pPr>
        <w:rPr>
          <w:rFonts w:ascii="仿宋" w:hAnsi="仿宋" w:eastAsia="仿宋"/>
          <w:sz w:val="32"/>
          <w:szCs w:val="32"/>
        </w:rPr>
      </w:pPr>
      <w:r>
        <w:rPr>
          <w:rFonts w:eastAsia="仿宋_GB2312"/>
          <w:sz w:val="32"/>
          <w:szCs w:val="32"/>
        </w:rPr>
        <w:br w:type="page"/>
      </w:r>
      <w:r>
        <w:rPr>
          <w:rFonts w:hint="eastAsia" w:ascii="仿宋" w:hAnsi="仿宋" w:eastAsia="仿宋"/>
          <w:sz w:val="32"/>
          <w:szCs w:val="32"/>
        </w:rPr>
        <w:t>附件：</w:t>
      </w:r>
    </w:p>
    <w:p>
      <w:pPr>
        <w:widowControl/>
        <w:spacing w:before="100" w:beforeAutospacing="1" w:after="100" w:afterAutospacing="1" w:line="360" w:lineRule="exact"/>
        <w:jc w:val="center"/>
        <w:rPr>
          <w:rFonts w:ascii="仿宋_GB2312" w:hAnsi="仿宋_GB2312" w:eastAsia="仿宋_GB2312" w:cs="仿宋_GB2312"/>
          <w:b/>
          <w:bCs/>
          <w:color w:val="4F4F4F"/>
          <w:kern w:val="0"/>
          <w:sz w:val="28"/>
          <w:szCs w:val="28"/>
        </w:rPr>
      </w:pPr>
      <w:r>
        <w:rPr>
          <w:rFonts w:hint="eastAsia" w:ascii="仿宋" w:hAnsi="仿宋" w:eastAsia="仿宋"/>
          <w:sz w:val="32"/>
          <w:szCs w:val="32"/>
        </w:rPr>
        <w:t>吉林省车船税税目税额表</w:t>
      </w:r>
    </w:p>
    <w:tbl>
      <w:tblPr>
        <w:tblStyle w:val="6"/>
        <w:tblW w:w="8440"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96"/>
        <w:gridCol w:w="878"/>
        <w:gridCol w:w="2527"/>
        <w:gridCol w:w="1126"/>
        <w:gridCol w:w="133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4401" w:type="dxa"/>
            <w:gridSpan w:val="3"/>
            <w:tcBorders>
              <w:top w:val="single" w:color="auto" w:sz="8" w:space="0"/>
              <w:left w:val="single" w:color="auto" w:sz="8" w:space="0"/>
              <w:bottom w:val="single" w:color="auto" w:sz="8" w:space="0"/>
              <w:right w:val="single" w:color="auto" w:sz="8" w:space="0"/>
            </w:tcBorders>
            <w:vAlign w:val="top"/>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税目</w:t>
            </w:r>
          </w:p>
        </w:tc>
        <w:tc>
          <w:tcPr>
            <w:tcW w:w="11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计税单位</w:t>
            </w:r>
          </w:p>
        </w:tc>
        <w:tc>
          <w:tcPr>
            <w:tcW w:w="13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年税额</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元</w:t>
            </w:r>
            <w:r>
              <w:rPr>
                <w:rFonts w:ascii="仿宋_GB2312" w:hAnsi="仿宋_GB2312" w:eastAsia="仿宋_GB2312" w:cs="仿宋_GB2312"/>
                <w:color w:val="4F4F4F"/>
                <w:kern w:val="0"/>
                <w:szCs w:val="21"/>
              </w:rPr>
              <w:t>)</w:t>
            </w:r>
          </w:p>
        </w:tc>
        <w:tc>
          <w:tcPr>
            <w:tcW w:w="15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restart"/>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乘用车</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按排气量分档</w:t>
            </w:r>
            <w:r>
              <w:rPr>
                <w:rFonts w:ascii="仿宋_GB2312" w:hAnsi="仿宋_GB2312" w:eastAsia="仿宋_GB2312" w:cs="仿宋_GB2312"/>
                <w:color w:val="4F4F4F"/>
                <w:kern w:val="0"/>
                <w:szCs w:val="21"/>
              </w:rPr>
              <w:t>)</w:t>
            </w:r>
          </w:p>
        </w:tc>
        <w:tc>
          <w:tcPr>
            <w:tcW w:w="3405"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ind w:firstLine="240" w:firstLineChars="100"/>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1.0</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以下的</w:t>
            </w: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每辆</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60</w:t>
            </w:r>
          </w:p>
        </w:tc>
        <w:tc>
          <w:tcPr>
            <w:tcW w:w="15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核定载客人数</w:t>
            </w:r>
            <w:r>
              <w:rPr>
                <w:rFonts w:ascii="仿宋_GB2312" w:hAnsi="仿宋_GB2312" w:eastAsia="仿宋_GB2312" w:cs="仿宋_GB2312"/>
                <w:color w:val="4F4F4F"/>
                <w:kern w:val="0"/>
                <w:szCs w:val="21"/>
              </w:rPr>
              <w:t>9</w:t>
            </w:r>
            <w:r>
              <w:rPr>
                <w:rFonts w:hint="eastAsia" w:ascii="仿宋_GB2312" w:hAnsi="仿宋_GB2312" w:eastAsia="仿宋_GB2312" w:cs="仿宋_GB2312"/>
                <w:color w:val="4F4F4F"/>
                <w:kern w:val="0"/>
                <w:szCs w:val="21"/>
              </w:rPr>
              <w:t>人</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1.0</w:t>
            </w:r>
            <w:r>
              <w:rPr>
                <w:rFonts w:hint="eastAsia" w:ascii="仿宋_GB2312" w:hAnsi="仿宋_GB2312" w:eastAsia="仿宋_GB2312" w:cs="仿宋_GB2312"/>
                <w:color w:val="4F4F4F"/>
                <w:kern w:val="0"/>
                <w:szCs w:val="21"/>
              </w:rPr>
              <w:t>升以上至</w:t>
            </w:r>
            <w:r>
              <w:rPr>
                <w:rFonts w:ascii="仿宋_GB2312" w:hAnsi="仿宋_GB2312" w:eastAsia="仿宋_GB2312" w:cs="仿宋_GB2312"/>
                <w:color w:val="4F4F4F"/>
                <w:kern w:val="0"/>
                <w:szCs w:val="21"/>
              </w:rPr>
              <w:t>1.6</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300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1.6</w:t>
            </w:r>
            <w:r>
              <w:rPr>
                <w:rFonts w:hint="eastAsia" w:ascii="仿宋_GB2312" w:hAnsi="仿宋_GB2312" w:eastAsia="仿宋_GB2312" w:cs="仿宋_GB2312"/>
                <w:color w:val="4F4F4F"/>
                <w:kern w:val="0"/>
                <w:szCs w:val="21"/>
              </w:rPr>
              <w:t>升以上至</w:t>
            </w:r>
            <w:r>
              <w:rPr>
                <w:rFonts w:ascii="仿宋_GB2312" w:hAnsi="仿宋_GB2312" w:eastAsia="仿宋_GB2312" w:cs="仿宋_GB2312"/>
                <w:color w:val="4F4F4F"/>
                <w:kern w:val="0"/>
                <w:szCs w:val="21"/>
              </w:rPr>
              <w:t>2.0</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360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2.0</w:t>
            </w:r>
            <w:r>
              <w:rPr>
                <w:rFonts w:hint="eastAsia" w:ascii="仿宋_GB2312" w:hAnsi="仿宋_GB2312" w:eastAsia="仿宋_GB2312" w:cs="仿宋_GB2312"/>
                <w:color w:val="4F4F4F"/>
                <w:kern w:val="0"/>
                <w:szCs w:val="21"/>
              </w:rPr>
              <w:t>升以上至</w:t>
            </w:r>
            <w:r>
              <w:rPr>
                <w:rFonts w:ascii="仿宋_GB2312" w:hAnsi="仿宋_GB2312" w:eastAsia="仿宋_GB2312" w:cs="仿宋_GB2312"/>
                <w:color w:val="4F4F4F"/>
                <w:kern w:val="0"/>
                <w:szCs w:val="21"/>
              </w:rPr>
              <w:t>2.5</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660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2.5</w:t>
            </w:r>
            <w:r>
              <w:rPr>
                <w:rFonts w:hint="eastAsia" w:ascii="仿宋_GB2312" w:hAnsi="仿宋_GB2312" w:eastAsia="仿宋_GB2312" w:cs="仿宋_GB2312"/>
                <w:color w:val="4F4F4F"/>
                <w:kern w:val="0"/>
                <w:szCs w:val="21"/>
              </w:rPr>
              <w:t>以上至</w:t>
            </w:r>
            <w:r>
              <w:rPr>
                <w:rFonts w:ascii="仿宋_GB2312" w:hAnsi="仿宋_GB2312" w:eastAsia="仿宋_GB2312" w:cs="仿宋_GB2312"/>
                <w:color w:val="4F4F4F"/>
                <w:kern w:val="0"/>
                <w:szCs w:val="21"/>
              </w:rPr>
              <w:t>3.0</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1200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3.0</w:t>
            </w:r>
            <w:r>
              <w:rPr>
                <w:rFonts w:hint="eastAsia" w:ascii="仿宋_GB2312" w:hAnsi="仿宋_GB2312" w:eastAsia="仿宋_GB2312" w:cs="仿宋_GB2312"/>
                <w:color w:val="4F4F4F"/>
                <w:kern w:val="0"/>
                <w:szCs w:val="21"/>
              </w:rPr>
              <w:t>以上至</w:t>
            </w:r>
            <w:r>
              <w:rPr>
                <w:rFonts w:ascii="仿宋_GB2312" w:hAnsi="仿宋_GB2312" w:eastAsia="仿宋_GB2312" w:cs="仿宋_GB2312"/>
                <w:color w:val="4F4F4F"/>
                <w:kern w:val="0"/>
                <w:szCs w:val="21"/>
              </w:rPr>
              <w:t>4.0</w:t>
            </w:r>
            <w:r>
              <w:rPr>
                <w:rFonts w:hint="eastAsia" w:ascii="仿宋_GB2312" w:hAnsi="仿宋_GB2312" w:eastAsia="仿宋_GB2312" w:cs="仿宋_GB2312"/>
                <w:color w:val="4F4F4F"/>
                <w:kern w:val="0"/>
                <w:szCs w:val="21"/>
              </w:rPr>
              <w:t>升</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2400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4.0</w:t>
            </w:r>
            <w:r>
              <w:rPr>
                <w:rFonts w:hint="eastAsia" w:ascii="仿宋_GB2312" w:hAnsi="仿宋_GB2312" w:eastAsia="仿宋_GB2312" w:cs="仿宋_GB2312"/>
                <w:color w:val="4F4F4F"/>
                <w:kern w:val="0"/>
                <w:szCs w:val="21"/>
              </w:rPr>
              <w:t>升以上</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_GB2312" w:eastAsia="仿宋_GB2312" w:cs="仿宋_GB2312"/>
                <w:color w:val="4F4F4F"/>
                <w:kern w:val="0"/>
                <w:szCs w:val="21"/>
              </w:rPr>
            </w:pPr>
            <w:r>
              <w:rPr>
                <w:rFonts w:eastAsia="仿宋_GB2312"/>
                <w:bCs/>
                <w:color w:val="000000"/>
                <w:sz w:val="18"/>
                <w:szCs w:val="18"/>
              </w:rPr>
              <w:t>3600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98" w:hRule="atLeast"/>
          <w:jc w:val="center"/>
        </w:trPr>
        <w:tc>
          <w:tcPr>
            <w:tcW w:w="99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商用车</w:t>
            </w:r>
          </w:p>
        </w:tc>
        <w:tc>
          <w:tcPr>
            <w:tcW w:w="8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客车</w:t>
            </w: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中型客车</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每辆</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480</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核定载客人数</w:t>
            </w:r>
            <w:r>
              <w:rPr>
                <w:rFonts w:ascii="仿宋_GB2312" w:hAnsi="仿宋_GB2312" w:eastAsia="仿宋_GB2312" w:cs="仿宋_GB2312"/>
                <w:color w:val="4F4F4F"/>
                <w:kern w:val="0"/>
                <w:szCs w:val="21"/>
              </w:rPr>
              <w:t>9</w:t>
            </w:r>
            <w:r>
              <w:rPr>
                <w:rFonts w:hint="eastAsia" w:ascii="仿宋_GB2312" w:hAnsi="仿宋_GB2312" w:eastAsia="仿宋_GB2312" w:cs="仿宋_GB2312"/>
                <w:color w:val="4F4F4F"/>
                <w:kern w:val="0"/>
                <w:szCs w:val="21"/>
              </w:rPr>
              <w:t>人以上</w:t>
            </w:r>
            <w:r>
              <w:rPr>
                <w:rFonts w:ascii="仿宋_GB2312" w:hAnsi="仿宋_GB2312" w:eastAsia="仿宋_GB2312" w:cs="仿宋_GB2312"/>
                <w:color w:val="4F4F4F"/>
                <w:kern w:val="0"/>
                <w:szCs w:val="21"/>
              </w:rPr>
              <w:t>20</w:t>
            </w:r>
            <w:r>
              <w:rPr>
                <w:rFonts w:hint="eastAsia" w:ascii="仿宋_GB2312" w:hAnsi="仿宋_GB2312" w:eastAsia="仿宋_GB2312" w:cs="仿宋_GB2312"/>
                <w:color w:val="4F4F4F"/>
                <w:kern w:val="0"/>
                <w:szCs w:val="21"/>
              </w:rPr>
              <w:t>人以下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75"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大型客车</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每辆</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600</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核定载客人数</w:t>
            </w:r>
            <w:r>
              <w:rPr>
                <w:rFonts w:ascii="仿宋_GB2312" w:hAnsi="仿宋_GB2312" w:eastAsia="仿宋_GB2312" w:cs="仿宋_GB2312"/>
                <w:color w:val="4F4F4F"/>
                <w:kern w:val="0"/>
                <w:szCs w:val="21"/>
              </w:rPr>
              <w:t>20</w:t>
            </w:r>
            <w:r>
              <w:rPr>
                <w:rFonts w:hint="eastAsia" w:ascii="仿宋_GB2312" w:hAnsi="仿宋_GB2312" w:eastAsia="仿宋_GB2312" w:cs="仿宋_GB2312"/>
                <w:color w:val="4F4F4F"/>
                <w:kern w:val="0"/>
                <w:szCs w:val="21"/>
              </w:rPr>
              <w:t>人</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含</w:t>
            </w:r>
            <w:r>
              <w:rPr>
                <w:rFonts w:ascii="仿宋_GB2312" w:hAnsi="仿宋_GB2312" w:eastAsia="仿宋_GB2312" w:cs="仿宋_GB2312"/>
                <w:color w:val="4F4F4F"/>
                <w:kern w:val="0"/>
                <w:szCs w:val="21"/>
              </w:rPr>
              <w:t>)</w:t>
            </w:r>
            <w:r>
              <w:rPr>
                <w:rFonts w:hint="eastAsia" w:ascii="仿宋_GB2312" w:hAnsi="仿宋_GB2312" w:eastAsia="仿宋_GB2312" w:cs="仿宋_GB2312"/>
                <w:color w:val="4F4F4F"/>
                <w:kern w:val="0"/>
                <w:szCs w:val="21"/>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63"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货车</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整备质量每吨</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16</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包括半挂牵引车、三轮汽车和低速载货汽车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75" w:hRule="atLeast"/>
          <w:jc w:val="center"/>
        </w:trPr>
        <w:tc>
          <w:tcPr>
            <w:tcW w:w="996" w:type="dxa"/>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挂车</w:t>
            </w:r>
          </w:p>
        </w:tc>
        <w:tc>
          <w:tcPr>
            <w:tcW w:w="3405"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宋体" w:cs="宋体"/>
                <w:color w:val="4F4F4F"/>
                <w:kern w:val="0"/>
                <w:szCs w:val="21"/>
              </w:rPr>
              <w:t> </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整备质量每吨</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8</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按照货车税额的</w:t>
            </w:r>
            <w:r>
              <w:rPr>
                <w:rFonts w:ascii="仿宋_GB2312" w:hAnsi="仿宋_GB2312" w:eastAsia="仿宋_GB2312" w:cs="仿宋_GB2312"/>
                <w:color w:val="4F4F4F"/>
                <w:kern w:val="0"/>
                <w:szCs w:val="21"/>
              </w:rPr>
              <w:t>50%</w:t>
            </w:r>
            <w:r>
              <w:rPr>
                <w:rFonts w:hint="eastAsia" w:ascii="仿宋_GB2312" w:hAnsi="仿宋_GB2312" w:eastAsia="仿宋_GB2312" w:cs="仿宋_GB2312"/>
                <w:color w:val="4F4F4F"/>
                <w:kern w:val="0"/>
                <w:szCs w:val="21"/>
              </w:rPr>
              <w:t>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restart"/>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其他车辆</w:t>
            </w:r>
          </w:p>
        </w:tc>
        <w:tc>
          <w:tcPr>
            <w:tcW w:w="3405"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专用作业车</w:t>
            </w: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整备质量每吨</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16</w:t>
            </w:r>
          </w:p>
        </w:tc>
        <w:tc>
          <w:tcPr>
            <w:tcW w:w="15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不包括拖拉机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34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轮式专用机械车</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16</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摩托车</w:t>
            </w:r>
          </w:p>
        </w:tc>
        <w:tc>
          <w:tcPr>
            <w:tcW w:w="3405"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宋体" w:cs="宋体"/>
                <w:color w:val="4F4F4F"/>
                <w:kern w:val="0"/>
                <w:szCs w:val="21"/>
              </w:rPr>
              <w:t> </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每辆</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36</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ascii="宋体" w:cs="宋体"/>
                <w:color w:val="4F4F4F"/>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船舶</w:t>
            </w:r>
          </w:p>
        </w:tc>
        <w:tc>
          <w:tcPr>
            <w:tcW w:w="8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机动船</w:t>
            </w: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净吨位</w:t>
            </w:r>
            <w:r>
              <w:rPr>
                <w:rFonts w:ascii="仿宋_GB2312" w:hAnsi="仿宋_GB2312" w:eastAsia="仿宋_GB2312" w:cs="仿宋_GB2312"/>
                <w:color w:val="4F4F4F"/>
                <w:kern w:val="0"/>
                <w:szCs w:val="21"/>
              </w:rPr>
              <w:t>200</w:t>
            </w:r>
            <w:r>
              <w:rPr>
                <w:rFonts w:hint="eastAsia" w:ascii="仿宋_GB2312" w:hAnsi="仿宋_GB2312" w:eastAsia="仿宋_GB2312" w:cs="仿宋_GB2312"/>
                <w:color w:val="4F4F4F"/>
                <w:kern w:val="0"/>
                <w:szCs w:val="21"/>
              </w:rPr>
              <w:t>吨以下</w:t>
            </w: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按净吨位每吨</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3</w:t>
            </w:r>
          </w:p>
        </w:tc>
        <w:tc>
          <w:tcPr>
            <w:tcW w:w="15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000000"/>
                <w:kern w:val="0"/>
                <w:szCs w:val="21"/>
              </w:rPr>
              <w:t>拖船、非机动驳船分别</w:t>
            </w:r>
            <w:r>
              <w:rPr>
                <w:rFonts w:hint="eastAsia" w:ascii="仿宋_GB2312" w:hAnsi="仿宋_GB2312" w:eastAsia="仿宋_GB2312" w:cs="仿宋_GB2312"/>
                <w:color w:val="4F4F4F"/>
                <w:kern w:val="0"/>
                <w:szCs w:val="21"/>
              </w:rPr>
              <w:t>按照机动船舶税额的</w:t>
            </w:r>
            <w:r>
              <w:rPr>
                <w:rFonts w:ascii="仿宋_GB2312" w:hAnsi="仿宋_GB2312" w:eastAsia="仿宋_GB2312" w:cs="仿宋_GB2312"/>
                <w:color w:val="4F4F4F"/>
                <w:kern w:val="0"/>
                <w:szCs w:val="21"/>
              </w:rPr>
              <w:t>50%</w:t>
            </w:r>
            <w:r>
              <w:rPr>
                <w:rFonts w:hint="eastAsia" w:ascii="仿宋_GB2312" w:hAnsi="仿宋_GB2312" w:eastAsia="仿宋_GB2312" w:cs="仿宋_GB2312"/>
                <w:color w:val="4F4F4F"/>
                <w:kern w:val="0"/>
                <w:szCs w:val="21"/>
              </w:rPr>
              <w:t>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净吨位</w:t>
            </w:r>
            <w:r>
              <w:rPr>
                <w:rFonts w:ascii="仿宋_GB2312" w:hAnsi="仿宋_GB2312" w:eastAsia="仿宋_GB2312" w:cs="仿宋_GB2312"/>
                <w:color w:val="4F4F4F"/>
                <w:kern w:val="0"/>
                <w:szCs w:val="21"/>
              </w:rPr>
              <w:t>201</w:t>
            </w:r>
            <w:r>
              <w:rPr>
                <w:rFonts w:hint="eastAsia" w:ascii="仿宋_GB2312" w:hAnsi="仿宋_GB2312" w:eastAsia="仿宋_GB2312" w:cs="仿宋_GB2312"/>
                <w:color w:val="4F4F4F"/>
                <w:kern w:val="0"/>
                <w:szCs w:val="21"/>
              </w:rPr>
              <w:t>吨至</w:t>
            </w:r>
            <w:r>
              <w:rPr>
                <w:rFonts w:ascii="仿宋_GB2312" w:hAnsi="仿宋_GB2312" w:eastAsia="仿宋_GB2312" w:cs="仿宋_GB2312"/>
                <w:color w:val="4F4F4F"/>
                <w:kern w:val="0"/>
                <w:szCs w:val="21"/>
              </w:rPr>
              <w:t>2000</w:t>
            </w:r>
            <w:r>
              <w:rPr>
                <w:rFonts w:hint="eastAsia" w:ascii="仿宋_GB2312" w:hAnsi="仿宋_GB2312" w:eastAsia="仿宋_GB2312" w:cs="仿宋_GB2312"/>
                <w:color w:val="4F4F4F"/>
                <w:kern w:val="0"/>
                <w:szCs w:val="21"/>
              </w:rPr>
              <w:t>吨</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4</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净吨位</w:t>
            </w:r>
            <w:r>
              <w:rPr>
                <w:rFonts w:ascii="仿宋_GB2312" w:hAnsi="仿宋_GB2312" w:eastAsia="仿宋_GB2312" w:cs="仿宋_GB2312"/>
                <w:color w:val="4F4F4F"/>
                <w:kern w:val="0"/>
                <w:szCs w:val="21"/>
              </w:rPr>
              <w:t>2001</w:t>
            </w:r>
            <w:r>
              <w:rPr>
                <w:rFonts w:hint="eastAsia" w:ascii="仿宋_GB2312" w:hAnsi="仿宋_GB2312" w:eastAsia="仿宋_GB2312" w:cs="仿宋_GB2312"/>
                <w:color w:val="4F4F4F"/>
                <w:kern w:val="0"/>
                <w:szCs w:val="21"/>
              </w:rPr>
              <w:t>吨至</w:t>
            </w:r>
            <w:r>
              <w:rPr>
                <w:rFonts w:ascii="仿宋_GB2312" w:hAnsi="仿宋_GB2312" w:eastAsia="仿宋_GB2312" w:cs="仿宋_GB2312"/>
                <w:color w:val="4F4F4F"/>
                <w:kern w:val="0"/>
                <w:szCs w:val="21"/>
              </w:rPr>
              <w:t>10000</w:t>
            </w:r>
            <w:r>
              <w:rPr>
                <w:rFonts w:hint="eastAsia" w:ascii="仿宋_GB2312" w:hAnsi="仿宋_GB2312" w:eastAsia="仿宋_GB2312" w:cs="仿宋_GB2312"/>
                <w:color w:val="4F4F4F"/>
                <w:kern w:val="0"/>
                <w:szCs w:val="21"/>
              </w:rPr>
              <w:t>吨</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5</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净吨位</w:t>
            </w:r>
            <w:r>
              <w:rPr>
                <w:rFonts w:ascii="仿宋_GB2312" w:hAnsi="仿宋_GB2312" w:eastAsia="仿宋_GB2312" w:cs="仿宋_GB2312"/>
                <w:color w:val="4F4F4F"/>
                <w:kern w:val="0"/>
                <w:szCs w:val="21"/>
              </w:rPr>
              <w:t>10001</w:t>
            </w:r>
            <w:r>
              <w:rPr>
                <w:rFonts w:hint="eastAsia" w:ascii="仿宋_GB2312" w:hAnsi="仿宋_GB2312" w:eastAsia="仿宋_GB2312" w:cs="仿宋_GB2312"/>
                <w:color w:val="4F4F4F"/>
                <w:kern w:val="0"/>
                <w:szCs w:val="21"/>
              </w:rPr>
              <w:t>吨以上</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6</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游艇</w:t>
            </w: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艇身长度不超过</w:t>
            </w:r>
            <w:r>
              <w:rPr>
                <w:rFonts w:ascii="仿宋_GB2312" w:hAnsi="仿宋_GB2312" w:eastAsia="仿宋_GB2312" w:cs="仿宋_GB2312"/>
                <w:color w:val="4F4F4F"/>
                <w:kern w:val="0"/>
                <w:szCs w:val="21"/>
              </w:rPr>
              <w:t>10</w:t>
            </w:r>
            <w:r>
              <w:rPr>
                <w:rFonts w:hint="eastAsia" w:ascii="仿宋_GB2312" w:hAnsi="仿宋_GB2312" w:eastAsia="仿宋_GB2312" w:cs="仿宋_GB2312"/>
                <w:color w:val="4F4F4F"/>
                <w:kern w:val="0"/>
                <w:szCs w:val="21"/>
              </w:rPr>
              <w:t>米</w:t>
            </w: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艇身长度每米</w:t>
            </w: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600</w:t>
            </w:r>
          </w:p>
        </w:tc>
        <w:tc>
          <w:tcPr>
            <w:tcW w:w="157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ind w:firstLine="420"/>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1"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艇身长度超过</w:t>
            </w:r>
            <w:r>
              <w:rPr>
                <w:rFonts w:ascii="仿宋_GB2312" w:hAnsi="仿宋_GB2312" w:eastAsia="仿宋_GB2312" w:cs="仿宋_GB2312"/>
                <w:color w:val="4F4F4F"/>
                <w:kern w:val="0"/>
                <w:szCs w:val="21"/>
              </w:rPr>
              <w:t>10</w:t>
            </w:r>
            <w:r>
              <w:rPr>
                <w:rFonts w:hint="eastAsia" w:ascii="仿宋_GB2312" w:hAnsi="仿宋_GB2312" w:eastAsia="仿宋_GB2312" w:cs="仿宋_GB2312"/>
                <w:color w:val="4F4F4F"/>
                <w:kern w:val="0"/>
                <w:szCs w:val="21"/>
              </w:rPr>
              <w:t>米不超过</w:t>
            </w:r>
            <w:r>
              <w:rPr>
                <w:rFonts w:ascii="仿宋_GB2312" w:hAnsi="仿宋_GB2312" w:eastAsia="仿宋_GB2312" w:cs="仿宋_GB2312"/>
                <w:color w:val="4F4F4F"/>
                <w:kern w:val="0"/>
                <w:szCs w:val="21"/>
              </w:rPr>
              <w:t>18</w:t>
            </w:r>
            <w:r>
              <w:rPr>
                <w:rFonts w:hint="eastAsia" w:ascii="仿宋_GB2312" w:hAnsi="仿宋_GB2312" w:eastAsia="仿宋_GB2312" w:cs="仿宋_GB2312"/>
                <w:color w:val="4F4F4F"/>
                <w:kern w:val="0"/>
                <w:szCs w:val="21"/>
              </w:rPr>
              <w:t>米</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900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1"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艇身长度超过</w:t>
            </w:r>
            <w:r>
              <w:rPr>
                <w:rFonts w:ascii="仿宋_GB2312" w:hAnsi="仿宋_GB2312" w:eastAsia="仿宋_GB2312" w:cs="仿宋_GB2312"/>
                <w:color w:val="4F4F4F"/>
                <w:kern w:val="0"/>
                <w:szCs w:val="21"/>
              </w:rPr>
              <w:t>18</w:t>
            </w:r>
            <w:r>
              <w:rPr>
                <w:rFonts w:hint="eastAsia" w:ascii="仿宋_GB2312" w:hAnsi="仿宋_GB2312" w:eastAsia="仿宋_GB2312" w:cs="仿宋_GB2312"/>
                <w:color w:val="4F4F4F"/>
                <w:kern w:val="0"/>
                <w:szCs w:val="21"/>
              </w:rPr>
              <w:t>米不超过</w:t>
            </w:r>
            <w:r>
              <w:rPr>
                <w:rFonts w:ascii="仿宋_GB2312" w:hAnsi="仿宋_GB2312" w:eastAsia="仿宋_GB2312" w:cs="仿宋_GB2312"/>
                <w:color w:val="4F4F4F"/>
                <w:kern w:val="0"/>
                <w:szCs w:val="21"/>
              </w:rPr>
              <w:t>30</w:t>
            </w:r>
            <w:r>
              <w:rPr>
                <w:rFonts w:hint="eastAsia" w:ascii="仿宋_GB2312" w:hAnsi="仿宋_GB2312" w:eastAsia="仿宋_GB2312" w:cs="仿宋_GB2312"/>
                <w:color w:val="4F4F4F"/>
                <w:kern w:val="0"/>
                <w:szCs w:val="21"/>
              </w:rPr>
              <w:t>米</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1300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8"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艇身长度超过</w:t>
            </w:r>
            <w:r>
              <w:rPr>
                <w:rFonts w:ascii="仿宋_GB2312" w:hAnsi="仿宋_GB2312" w:eastAsia="仿宋_GB2312" w:cs="仿宋_GB2312"/>
                <w:color w:val="4F4F4F"/>
                <w:kern w:val="0"/>
                <w:szCs w:val="21"/>
              </w:rPr>
              <w:t>30</w:t>
            </w:r>
            <w:r>
              <w:rPr>
                <w:rFonts w:hint="eastAsia" w:ascii="仿宋_GB2312" w:hAnsi="仿宋_GB2312" w:eastAsia="仿宋_GB2312" w:cs="仿宋_GB2312"/>
                <w:color w:val="4F4F4F"/>
                <w:kern w:val="0"/>
                <w:szCs w:val="21"/>
              </w:rPr>
              <w:t>米以上</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2000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69" w:hRule="atLeast"/>
          <w:jc w:val="center"/>
        </w:trPr>
        <w:tc>
          <w:tcPr>
            <w:tcW w:w="99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8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2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仿宋_GB2312" w:hAnsi="仿宋_GB2312" w:eastAsia="仿宋_GB2312" w:cs="仿宋_GB2312"/>
                <w:color w:val="4F4F4F"/>
                <w:kern w:val="0"/>
                <w:szCs w:val="21"/>
              </w:rPr>
            </w:pPr>
            <w:r>
              <w:rPr>
                <w:rFonts w:hint="eastAsia" w:ascii="仿宋_GB2312" w:hAnsi="仿宋_GB2312" w:eastAsia="仿宋_GB2312" w:cs="仿宋_GB2312"/>
                <w:color w:val="4F4F4F"/>
                <w:kern w:val="0"/>
                <w:szCs w:val="21"/>
              </w:rPr>
              <w:t>辅助动力帆艇</w:t>
            </w:r>
          </w:p>
        </w:tc>
        <w:tc>
          <w:tcPr>
            <w:tcW w:w="1126"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c>
          <w:tcPr>
            <w:tcW w:w="13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仿宋_GB2312" w:hAnsi="仿宋_GB2312" w:eastAsia="仿宋_GB2312" w:cs="仿宋_GB2312"/>
                <w:color w:val="4F4F4F"/>
                <w:kern w:val="0"/>
                <w:szCs w:val="21"/>
              </w:rPr>
            </w:pPr>
            <w:r>
              <w:rPr>
                <w:rFonts w:ascii="仿宋_GB2312" w:hAnsi="仿宋_GB2312" w:eastAsia="仿宋_GB2312" w:cs="仿宋_GB2312"/>
                <w:color w:val="4F4F4F"/>
                <w:kern w:val="0"/>
                <w:szCs w:val="21"/>
              </w:rPr>
              <w:t>600</w:t>
            </w:r>
          </w:p>
        </w:tc>
        <w:tc>
          <w:tcPr>
            <w:tcW w:w="157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4F4F4F"/>
                <w:kern w:val="0"/>
                <w:szCs w:val="21"/>
              </w:rPr>
            </w:pPr>
          </w:p>
        </w:tc>
      </w:tr>
    </w:tbl>
    <w:p>
      <w:pPr>
        <w:spacing w:line="560" w:lineRule="exact"/>
        <w:rPr>
          <w:rFonts w:ascii="Times New Roman" w:hAnsi="Times New Roman"/>
        </w:rPr>
      </w:pPr>
    </w:p>
    <w:sectPr>
      <w:footerReference r:id="rId6" w:type="first"/>
      <w:headerReference r:id="rId4" w:type="default"/>
      <w:footerReference r:id="rId5" w:type="default"/>
      <w:pgSz w:w="11906" w:h="16838"/>
      <w:pgMar w:top="1440" w:right="1800" w:bottom="1440" w:left="180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sz w:val="30"/>
        <w:szCs w:val="30"/>
      </w:rPr>
    </w:pPr>
    <w:r>
      <w:rPr>
        <w:rFonts w:hint="eastAsia"/>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1</w:t>
    </w:r>
    <w:r>
      <w:rPr>
        <w:sz w:val="30"/>
        <w:szCs w:val="30"/>
      </w:rPr>
      <w:fldChar w:fldCharType="end"/>
    </w:r>
    <w:r>
      <w:rPr>
        <w:rFonts w:hint="eastAsia"/>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D1CF8"/>
    <w:rsid w:val="0003474A"/>
    <w:rsid w:val="00066BB3"/>
    <w:rsid w:val="000A2233"/>
    <w:rsid w:val="000F1BB4"/>
    <w:rsid w:val="00114747"/>
    <w:rsid w:val="001847D7"/>
    <w:rsid w:val="00192726"/>
    <w:rsid w:val="00230A78"/>
    <w:rsid w:val="00257BB9"/>
    <w:rsid w:val="00287EBF"/>
    <w:rsid w:val="002B71E5"/>
    <w:rsid w:val="00333284"/>
    <w:rsid w:val="003F7451"/>
    <w:rsid w:val="0040257E"/>
    <w:rsid w:val="00456CF2"/>
    <w:rsid w:val="004C70E5"/>
    <w:rsid w:val="00503BF3"/>
    <w:rsid w:val="005257F2"/>
    <w:rsid w:val="005E2CFA"/>
    <w:rsid w:val="00615C77"/>
    <w:rsid w:val="00616A36"/>
    <w:rsid w:val="006B0511"/>
    <w:rsid w:val="007513AC"/>
    <w:rsid w:val="00B459D8"/>
    <w:rsid w:val="00B85221"/>
    <w:rsid w:val="00BE20CC"/>
    <w:rsid w:val="00CA34B6"/>
    <w:rsid w:val="00D956AB"/>
    <w:rsid w:val="00DA17CE"/>
    <w:rsid w:val="00DA389B"/>
    <w:rsid w:val="00DD1CF8"/>
    <w:rsid w:val="00DF75F7"/>
    <w:rsid w:val="00E55204"/>
    <w:rsid w:val="00E75E61"/>
    <w:rsid w:val="00EF1331"/>
    <w:rsid w:val="00FA49E8"/>
    <w:rsid w:val="00FE240B"/>
    <w:rsid w:val="412F5E4A"/>
    <w:rsid w:val="6A97363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Calibri" w:hAnsi="Calibri" w:eastAsia="宋体" w:cs="Times New Roman"/>
      <w:color w:val="000000"/>
      <w:kern w:val="2"/>
      <w:sz w:val="24"/>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99"/>
    <w:pPr>
      <w:tabs>
        <w:tab w:val="center" w:pos="4153"/>
        <w:tab w:val="right" w:pos="8306"/>
      </w:tabs>
      <w:snapToGrid w:val="0"/>
      <w:spacing w:line="240" w:lineRule="auto"/>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5">
    <w:name w:val="Hyperlink"/>
    <w:basedOn w:val="4"/>
    <w:uiPriority w:val="0"/>
    <w:rPr>
      <w:color w:val="0563C1"/>
      <w:u w:val="single"/>
    </w:rPr>
  </w:style>
  <w:style w:type="character" w:customStyle="1" w:styleId="7">
    <w:name w:val="页眉 Char"/>
    <w:basedOn w:val="4"/>
    <w:link w:val="3"/>
    <w:uiPriority w:val="0"/>
    <w:rPr>
      <w:rFonts w:ascii="Calibri" w:hAnsi="Calibri"/>
      <w:color w:val="000000"/>
      <w:kern w:val="2"/>
      <w:sz w:val="18"/>
      <w:szCs w:val="18"/>
    </w:rPr>
  </w:style>
  <w:style w:type="character" w:customStyle="1" w:styleId="8">
    <w:name w:val="页脚 Char"/>
    <w:basedOn w:val="4"/>
    <w:link w:val="2"/>
    <w:uiPriority w:val="99"/>
    <w:rPr>
      <w:rFonts w:ascii="Calibri" w:hAnsi="Calibri"/>
      <w:color w:val="000000"/>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338</Words>
  <Characters>1927</Characters>
  <Lines>16</Lines>
  <Paragraphs>4</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cp:lastModifiedBy>
  <cp:lastPrinted>2019-10-18T03:13:00Z</cp:lastPrinted>
  <dcterms:modified xsi:type="dcterms:W3CDTF">2019-10-25T01:11:32Z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